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1E69FB" w14:textId="77777777" w:rsidR="00AD4E6C" w:rsidRDefault="00AD4E6C" w:rsidP="00AD4E6C">
      <w:pPr>
        <w:jc w:val="center"/>
        <w:rPr>
          <w:rFonts w:ascii="Verdana" w:hAnsi="Verdana" w:cs="Arial"/>
          <w:b/>
          <w:sz w:val="24"/>
          <w:szCs w:val="24"/>
        </w:rPr>
      </w:pPr>
    </w:p>
    <w:p w14:paraId="2C746A40" w14:textId="77777777" w:rsidR="00AD4E6C" w:rsidRDefault="00AD4E6C" w:rsidP="00AD4E6C">
      <w:pPr>
        <w:jc w:val="center"/>
        <w:rPr>
          <w:rFonts w:ascii="Verdana" w:hAnsi="Verdana" w:cs="Arial"/>
          <w:b/>
          <w:sz w:val="24"/>
          <w:szCs w:val="24"/>
        </w:rPr>
      </w:pPr>
    </w:p>
    <w:p w14:paraId="3267FBEA" w14:textId="27C495F7" w:rsidR="00AD4E6C" w:rsidRPr="00AD4E6C" w:rsidRDefault="00AD4E6C" w:rsidP="00AD4E6C">
      <w:pPr>
        <w:jc w:val="center"/>
        <w:rPr>
          <w:rFonts w:ascii="Verdana" w:hAnsi="Verdana" w:cs="Arial"/>
          <w:bCs/>
          <w:sz w:val="24"/>
          <w:szCs w:val="24"/>
          <w:u w:val="single"/>
        </w:rPr>
      </w:pPr>
      <w:r w:rsidRPr="00AD4E6C">
        <w:rPr>
          <w:rFonts w:ascii="Verdana" w:hAnsi="Verdana" w:cs="Arial"/>
          <w:bCs/>
          <w:sz w:val="24"/>
          <w:szCs w:val="24"/>
          <w:u w:val="single"/>
        </w:rPr>
        <w:t>24 de marzo, Día Mundial de la Tuberculosis</w:t>
      </w:r>
    </w:p>
    <w:p w14:paraId="3B2CB72C" w14:textId="091CD6C5" w:rsidR="00AD4E6C" w:rsidRPr="00AD4E6C" w:rsidRDefault="00AD4E6C" w:rsidP="00AD4E6C">
      <w:pPr>
        <w:jc w:val="center"/>
        <w:rPr>
          <w:rFonts w:ascii="Verdana" w:hAnsi="Verdana" w:cs="Arial"/>
          <w:b/>
          <w:sz w:val="24"/>
          <w:szCs w:val="24"/>
        </w:rPr>
      </w:pPr>
      <w:r w:rsidRPr="00AD4E6C">
        <w:rPr>
          <w:rFonts w:ascii="Verdana" w:hAnsi="Verdana" w:cs="Arial"/>
          <w:b/>
          <w:sz w:val="24"/>
          <w:szCs w:val="24"/>
        </w:rPr>
        <w:t>Un estudio sobre las vacunas de la tuberculosis y la tosferina refuerza la idea de que las vacunas trabajan mejor en equipo</w:t>
      </w:r>
    </w:p>
    <w:p w14:paraId="2B6F5821" w14:textId="77777777" w:rsidR="00AD4E6C" w:rsidRDefault="00AD4E6C" w:rsidP="00AD4E6C">
      <w:pPr>
        <w:jc w:val="both"/>
        <w:rPr>
          <w:rFonts w:ascii="Verdana" w:hAnsi="Verdana" w:cs="Arial"/>
          <w:b/>
          <w:sz w:val="20"/>
          <w:szCs w:val="20"/>
        </w:rPr>
      </w:pPr>
    </w:p>
    <w:p w14:paraId="0788F777" w14:textId="02116331" w:rsidR="00AD4E6C" w:rsidRDefault="00AD4E6C" w:rsidP="00AD4E6C">
      <w:pPr>
        <w:pStyle w:val="Prrafodelista"/>
        <w:numPr>
          <w:ilvl w:val="0"/>
          <w:numId w:val="22"/>
        </w:numPr>
        <w:jc w:val="both"/>
        <w:rPr>
          <w:rFonts w:ascii="Verdana" w:hAnsi="Verdana" w:cs="Arial"/>
          <w:b/>
          <w:sz w:val="20"/>
          <w:szCs w:val="20"/>
        </w:rPr>
      </w:pPr>
      <w:r w:rsidRPr="00AD4E6C">
        <w:rPr>
          <w:rFonts w:ascii="Verdana" w:hAnsi="Verdana" w:cs="Arial"/>
          <w:b/>
          <w:sz w:val="20"/>
          <w:szCs w:val="20"/>
        </w:rPr>
        <w:t>Una investigación internacional, en la que participa el grupo de Carlos Martín de</w:t>
      </w:r>
      <w:r>
        <w:rPr>
          <w:rFonts w:ascii="Verdana" w:hAnsi="Verdana" w:cs="Arial"/>
          <w:b/>
          <w:sz w:val="20"/>
          <w:szCs w:val="20"/>
        </w:rPr>
        <w:t>l CIBER</w:t>
      </w:r>
      <w:r w:rsidR="009C2382">
        <w:rPr>
          <w:rFonts w:ascii="Verdana" w:hAnsi="Verdana" w:cs="Arial"/>
          <w:b/>
          <w:sz w:val="20"/>
          <w:szCs w:val="20"/>
        </w:rPr>
        <w:t xml:space="preserve"> de Enfermedades Respiratorias </w:t>
      </w:r>
      <w:r>
        <w:rPr>
          <w:rFonts w:ascii="Verdana" w:hAnsi="Verdana" w:cs="Arial"/>
          <w:b/>
          <w:sz w:val="20"/>
          <w:szCs w:val="20"/>
        </w:rPr>
        <w:t>en</w:t>
      </w:r>
      <w:r w:rsidRPr="00AD4E6C">
        <w:rPr>
          <w:rFonts w:ascii="Verdana" w:hAnsi="Verdana" w:cs="Arial"/>
          <w:b/>
          <w:sz w:val="20"/>
          <w:szCs w:val="20"/>
        </w:rPr>
        <w:t xml:space="preserve"> la Universidad de Zaragoza, avala que las vacunas pueden beneficiarse mutuamente</w:t>
      </w:r>
    </w:p>
    <w:p w14:paraId="59B7FA61" w14:textId="77777777" w:rsidR="00AD4E6C" w:rsidRPr="00AD4E6C" w:rsidRDefault="00AD4E6C" w:rsidP="00AD4E6C">
      <w:pPr>
        <w:pStyle w:val="Prrafodelista"/>
        <w:jc w:val="both"/>
        <w:rPr>
          <w:rFonts w:ascii="Verdana" w:hAnsi="Verdana" w:cs="Arial"/>
          <w:b/>
          <w:sz w:val="20"/>
          <w:szCs w:val="20"/>
        </w:rPr>
      </w:pPr>
    </w:p>
    <w:p w14:paraId="73DF29C3" w14:textId="77777777" w:rsidR="00AD4E6C" w:rsidRDefault="00AD4E6C" w:rsidP="00AD4E6C">
      <w:pPr>
        <w:pStyle w:val="Prrafodelista"/>
        <w:numPr>
          <w:ilvl w:val="0"/>
          <w:numId w:val="22"/>
        </w:numPr>
        <w:jc w:val="both"/>
        <w:rPr>
          <w:rFonts w:ascii="Verdana" w:hAnsi="Verdana" w:cs="Arial"/>
          <w:b/>
          <w:sz w:val="20"/>
          <w:szCs w:val="20"/>
        </w:rPr>
      </w:pPr>
      <w:r w:rsidRPr="00AD4E6C">
        <w:rPr>
          <w:rFonts w:ascii="Verdana" w:hAnsi="Verdana" w:cs="Arial"/>
          <w:b/>
          <w:sz w:val="20"/>
          <w:szCs w:val="20"/>
        </w:rPr>
        <w:t xml:space="preserve">La revista </w:t>
      </w:r>
      <w:proofErr w:type="spellStart"/>
      <w:r w:rsidRPr="00AD4E6C">
        <w:rPr>
          <w:rFonts w:ascii="Verdana" w:hAnsi="Verdana" w:cs="Arial"/>
          <w:b/>
          <w:i/>
          <w:iCs/>
          <w:sz w:val="20"/>
          <w:szCs w:val="20"/>
        </w:rPr>
        <w:t>EBioMedicine</w:t>
      </w:r>
      <w:proofErr w:type="spellEnd"/>
      <w:r w:rsidRPr="00AD4E6C">
        <w:rPr>
          <w:rFonts w:ascii="Verdana" w:hAnsi="Verdana" w:cs="Arial"/>
          <w:b/>
          <w:sz w:val="20"/>
          <w:szCs w:val="20"/>
        </w:rPr>
        <w:t xml:space="preserve"> publica un trabajo que demuestra que la vacuna centenaria contra la tuberculosis BCG mejora la inmunidad de la DTP, que protege de la difteria, el tétanos y la tosferina</w:t>
      </w:r>
    </w:p>
    <w:p w14:paraId="53520278" w14:textId="77777777" w:rsidR="00AD4E6C" w:rsidRPr="00AD4E6C" w:rsidRDefault="00AD4E6C" w:rsidP="00AD4E6C">
      <w:pPr>
        <w:pStyle w:val="Prrafodelista"/>
        <w:rPr>
          <w:rFonts w:ascii="Verdana" w:hAnsi="Verdana" w:cs="Arial"/>
          <w:b/>
          <w:sz w:val="20"/>
          <w:szCs w:val="20"/>
        </w:rPr>
      </w:pPr>
    </w:p>
    <w:p w14:paraId="1522BE98" w14:textId="6FFA641A" w:rsidR="00AD4E6C" w:rsidRPr="00AD4E6C" w:rsidRDefault="00AD4E6C" w:rsidP="00AD4E6C">
      <w:pPr>
        <w:pStyle w:val="Prrafodelista"/>
        <w:numPr>
          <w:ilvl w:val="0"/>
          <w:numId w:val="22"/>
        </w:numPr>
        <w:jc w:val="both"/>
        <w:rPr>
          <w:rFonts w:ascii="Verdana" w:hAnsi="Verdana" w:cs="Arial"/>
          <w:b/>
          <w:sz w:val="20"/>
          <w:szCs w:val="20"/>
        </w:rPr>
      </w:pPr>
      <w:r w:rsidRPr="00AD4E6C">
        <w:rPr>
          <w:rFonts w:ascii="Verdana" w:hAnsi="Verdana" w:cs="Arial"/>
          <w:b/>
          <w:sz w:val="20"/>
          <w:szCs w:val="20"/>
        </w:rPr>
        <w:t>La tuberculosis es la primera causa de mortalidad por enfermedades infecciosas en el mundo, solo superada en el año 2020 por la COVID-19</w:t>
      </w:r>
    </w:p>
    <w:p w14:paraId="3C6BF60F" w14:textId="77777777" w:rsidR="00AD4E6C" w:rsidRDefault="00AD4E6C" w:rsidP="00AD4E6C">
      <w:pPr>
        <w:rPr>
          <w:rFonts w:ascii="Verdana" w:hAnsi="Verdana" w:cs="Arial"/>
          <w:sz w:val="20"/>
          <w:szCs w:val="20"/>
        </w:rPr>
      </w:pPr>
    </w:p>
    <w:p w14:paraId="5D589BCB" w14:textId="68C1C3FE" w:rsidR="00AD4E6C" w:rsidRDefault="00AD4E6C" w:rsidP="00AD4E6C">
      <w:pPr>
        <w:jc w:val="both"/>
        <w:rPr>
          <w:rFonts w:ascii="Verdana" w:hAnsi="Verdana" w:cs="Arial"/>
          <w:sz w:val="20"/>
          <w:szCs w:val="20"/>
        </w:rPr>
      </w:pPr>
      <w:r w:rsidRPr="00AD4E6C">
        <w:rPr>
          <w:rFonts w:ascii="Verdana" w:hAnsi="Verdana" w:cs="Arial"/>
          <w:b/>
          <w:bCs/>
          <w:sz w:val="20"/>
          <w:szCs w:val="20"/>
        </w:rPr>
        <w:t>Madrid, 23 de marzo de 2021.</w:t>
      </w:r>
      <w:r>
        <w:rPr>
          <w:rFonts w:ascii="Verdana" w:hAnsi="Verdana" w:cs="Arial"/>
          <w:sz w:val="20"/>
          <w:szCs w:val="20"/>
        </w:rPr>
        <w:t xml:space="preserve"> </w:t>
      </w:r>
      <w:r w:rsidRPr="00B1326E">
        <w:rPr>
          <w:rFonts w:ascii="Verdana" w:hAnsi="Verdana" w:cs="Arial"/>
          <w:sz w:val="20"/>
          <w:szCs w:val="20"/>
        </w:rPr>
        <w:t>Hasta hace unos años se pensaba que las vacunas protegían de forma muy específica contra patógenos intrínsecamente relacionados con la propia vacuna. Sin embargo, este antiguo dogma está cambiando, y con frecuencia aparecen investigaciones que demuestran que las vacunas pueden beneficiarse mutuamente y mejorar la inmunidad</w:t>
      </w:r>
      <w:r>
        <w:rPr>
          <w:rFonts w:ascii="Verdana" w:hAnsi="Verdana" w:cs="Arial"/>
          <w:sz w:val="20"/>
          <w:szCs w:val="20"/>
        </w:rPr>
        <w:t xml:space="preserve"> de vacunas que se administran posteriormente. </w:t>
      </w:r>
    </w:p>
    <w:p w14:paraId="738510A9" w14:textId="77777777" w:rsidR="00784713" w:rsidRPr="00784713" w:rsidRDefault="00784713" w:rsidP="00784713">
      <w:pPr>
        <w:jc w:val="both"/>
        <w:rPr>
          <w:rFonts w:ascii="Verdana" w:hAnsi="Verdana" w:cs="Arial"/>
          <w:sz w:val="20"/>
          <w:szCs w:val="20"/>
        </w:rPr>
      </w:pPr>
      <w:r>
        <w:rPr>
          <w:rFonts w:ascii="Verdana" w:hAnsi="Verdana" w:cs="Arial"/>
          <w:sz w:val="20"/>
          <w:szCs w:val="20"/>
        </w:rPr>
        <w:t xml:space="preserve">Un estudio internacional publicado recientemente en la </w:t>
      </w:r>
      <w:r w:rsidRPr="00784713">
        <w:rPr>
          <w:rFonts w:ascii="Verdana" w:hAnsi="Verdana" w:cs="Arial"/>
          <w:sz w:val="20"/>
          <w:szCs w:val="20"/>
        </w:rPr>
        <w:t xml:space="preserve">revista </w:t>
      </w:r>
      <w:proofErr w:type="spellStart"/>
      <w:r w:rsidRPr="00784713">
        <w:rPr>
          <w:rFonts w:ascii="Verdana" w:hAnsi="Verdana" w:cs="Arial"/>
          <w:sz w:val="20"/>
          <w:szCs w:val="20"/>
        </w:rPr>
        <w:t>EBioMedicine</w:t>
      </w:r>
      <w:proofErr w:type="spellEnd"/>
      <w:r w:rsidRPr="00784713">
        <w:rPr>
          <w:rFonts w:ascii="Verdana" w:hAnsi="Verdana" w:cs="Arial"/>
          <w:sz w:val="20"/>
          <w:szCs w:val="20"/>
        </w:rPr>
        <w:t xml:space="preserve"> -del grupo </w:t>
      </w:r>
      <w:proofErr w:type="spellStart"/>
      <w:r w:rsidRPr="00784713">
        <w:rPr>
          <w:rFonts w:ascii="Verdana" w:hAnsi="Verdana" w:cs="Arial"/>
          <w:sz w:val="20"/>
          <w:szCs w:val="20"/>
        </w:rPr>
        <w:t>The</w:t>
      </w:r>
      <w:proofErr w:type="spellEnd"/>
      <w:r w:rsidRPr="00784713">
        <w:rPr>
          <w:rFonts w:ascii="Verdana" w:hAnsi="Verdana" w:cs="Arial"/>
          <w:sz w:val="20"/>
          <w:szCs w:val="20"/>
        </w:rPr>
        <w:t xml:space="preserve"> Lancet-</w:t>
      </w:r>
      <w:r>
        <w:rPr>
          <w:rFonts w:ascii="Verdana" w:hAnsi="Verdana" w:cs="Arial"/>
          <w:sz w:val="20"/>
          <w:szCs w:val="20"/>
        </w:rPr>
        <w:t xml:space="preserve">, y en el que han participado expertos en </w:t>
      </w:r>
      <w:r w:rsidRPr="00784713">
        <w:rPr>
          <w:rFonts w:ascii="Verdana" w:hAnsi="Verdana" w:cs="Arial"/>
          <w:sz w:val="20"/>
          <w:szCs w:val="20"/>
        </w:rPr>
        <w:t xml:space="preserve">vacunas de la Universidad de Zaragoza </w:t>
      </w:r>
      <w:r>
        <w:rPr>
          <w:rFonts w:ascii="Verdana" w:hAnsi="Verdana" w:cs="Arial"/>
          <w:sz w:val="20"/>
          <w:szCs w:val="20"/>
        </w:rPr>
        <w:t xml:space="preserve">y del </w:t>
      </w:r>
      <w:r w:rsidRPr="00784713">
        <w:rPr>
          <w:rFonts w:ascii="Verdana" w:hAnsi="Verdana" w:cs="Arial"/>
          <w:sz w:val="20"/>
          <w:szCs w:val="20"/>
        </w:rPr>
        <w:t>CIBER de Enfermedades Respiratorias (CIBERES),</w:t>
      </w:r>
      <w:r>
        <w:rPr>
          <w:rFonts w:ascii="Verdana" w:hAnsi="Verdana" w:cs="Arial"/>
          <w:sz w:val="20"/>
          <w:szCs w:val="20"/>
        </w:rPr>
        <w:t xml:space="preserve"> demuestra que la administración de la actual vacuna contra la</w:t>
      </w:r>
      <w:r w:rsidRPr="00784713">
        <w:rPr>
          <w:rFonts w:ascii="Verdana" w:hAnsi="Verdana" w:cs="Arial"/>
          <w:sz w:val="20"/>
          <w:szCs w:val="20"/>
        </w:rPr>
        <w:t xml:space="preserve"> tuberculosis, BCG, </w:t>
      </w:r>
      <w:r>
        <w:rPr>
          <w:rFonts w:ascii="Verdana" w:hAnsi="Verdana" w:cs="Arial"/>
          <w:sz w:val="20"/>
          <w:szCs w:val="20"/>
        </w:rPr>
        <w:t xml:space="preserve">que este año cumple 100 años desde su primera inoculación, </w:t>
      </w:r>
      <w:r w:rsidRPr="00784713">
        <w:rPr>
          <w:rFonts w:ascii="Verdana" w:hAnsi="Verdana" w:cs="Arial"/>
          <w:sz w:val="20"/>
          <w:szCs w:val="20"/>
        </w:rPr>
        <w:t xml:space="preserve">mejora la inmunidad de la DTP, </w:t>
      </w:r>
      <w:r>
        <w:rPr>
          <w:rFonts w:ascii="Verdana" w:hAnsi="Verdana" w:cs="Arial"/>
          <w:sz w:val="20"/>
          <w:szCs w:val="20"/>
        </w:rPr>
        <w:t>que protege de la</w:t>
      </w:r>
      <w:r w:rsidRPr="00784713">
        <w:rPr>
          <w:rFonts w:ascii="Verdana" w:hAnsi="Verdana" w:cs="Arial"/>
          <w:sz w:val="20"/>
          <w:szCs w:val="20"/>
        </w:rPr>
        <w:t xml:space="preserve"> difteria, el tétanos y la tosferina.</w:t>
      </w:r>
    </w:p>
    <w:p w14:paraId="5F976AE6" w14:textId="7D088042" w:rsidR="00AD4E6C" w:rsidRPr="00B1326E" w:rsidRDefault="00AD4E6C" w:rsidP="00AD4E6C">
      <w:pPr>
        <w:shd w:val="clear" w:color="auto" w:fill="FFFFFF"/>
        <w:jc w:val="both"/>
        <w:rPr>
          <w:rFonts w:ascii="Verdana" w:eastAsia="Times New Roman" w:hAnsi="Verdana" w:cs="Times New Roman"/>
          <w:color w:val="000000"/>
          <w:sz w:val="20"/>
          <w:szCs w:val="20"/>
          <w:lang w:eastAsia="es-ES"/>
        </w:rPr>
      </w:pPr>
      <w:r w:rsidRPr="00B1326E">
        <w:rPr>
          <w:rFonts w:ascii="Verdana" w:hAnsi="Verdana" w:cs="Arial"/>
          <w:sz w:val="20"/>
          <w:szCs w:val="20"/>
        </w:rPr>
        <w:t>Estos resultados se hacen públicos coincidiendo con el Día Mundial contra la Tuberculosis que se celebra mañana miércoles, 24 de marzo, una patología que sigue siendo p</w:t>
      </w:r>
      <w:r w:rsidRPr="00B1326E">
        <w:rPr>
          <w:rFonts w:ascii="Verdana" w:eastAsia="Times New Roman" w:hAnsi="Verdana" w:cs="Times New Roman"/>
          <w:color w:val="000000"/>
          <w:sz w:val="20"/>
          <w:szCs w:val="20"/>
          <w:lang w:eastAsia="es-ES"/>
        </w:rPr>
        <w:t xml:space="preserve">rimera causa de mortalidad por enfermedades infecciosas en todo el mundo, solo superada en el año 2020 por la COVID-19. El informe de la OMS de 2020 señala que 1,4 millones de personas murieron por tuberculosis en 2019 y se estima </w:t>
      </w:r>
      <w:r w:rsidR="009C2382" w:rsidRPr="00B1326E">
        <w:rPr>
          <w:rFonts w:ascii="Verdana" w:eastAsia="Times New Roman" w:hAnsi="Verdana" w:cs="Times New Roman"/>
          <w:color w:val="000000"/>
          <w:sz w:val="20"/>
          <w:szCs w:val="20"/>
          <w:lang w:eastAsia="es-ES"/>
        </w:rPr>
        <w:t>que,</w:t>
      </w:r>
      <w:r w:rsidRPr="00B1326E">
        <w:rPr>
          <w:rFonts w:ascii="Verdana" w:eastAsia="Times New Roman" w:hAnsi="Verdana" w:cs="Times New Roman"/>
          <w:color w:val="000000"/>
          <w:sz w:val="20"/>
          <w:szCs w:val="20"/>
          <w:lang w:eastAsia="es-ES"/>
        </w:rPr>
        <w:t xml:space="preserve"> como consecuencia de la pandemia por coronavirus en los próximos cinco años, las muertes por las tuberculosis podrían aumentar hasta en un 20%.</w:t>
      </w:r>
    </w:p>
    <w:p w14:paraId="6F1D53DC" w14:textId="46F0D27F" w:rsidR="00AD4E6C" w:rsidRPr="00B1326E" w:rsidRDefault="00AD4E6C" w:rsidP="00AD4E6C">
      <w:pPr>
        <w:jc w:val="both"/>
        <w:rPr>
          <w:rFonts w:ascii="Verdana" w:hAnsi="Verdana" w:cs="Arial"/>
          <w:sz w:val="20"/>
          <w:szCs w:val="20"/>
        </w:rPr>
      </w:pPr>
      <w:r w:rsidRPr="00B1326E">
        <w:rPr>
          <w:rFonts w:ascii="Verdana" w:hAnsi="Verdana" w:cs="Arial"/>
          <w:sz w:val="20"/>
          <w:szCs w:val="20"/>
        </w:rPr>
        <w:t xml:space="preserve">La investigación demuestra que en los países en que se vacuna con BCG y DTP (la vacuna contra la difteria, el tétanos y la tosferina) tienen hasta 10 veces menos incidencia de tosferina causada por </w:t>
      </w:r>
      <w:proofErr w:type="spellStart"/>
      <w:r w:rsidRPr="00B1326E">
        <w:rPr>
          <w:rFonts w:ascii="Verdana" w:hAnsi="Verdana" w:cs="Arial"/>
          <w:i/>
          <w:sz w:val="20"/>
          <w:szCs w:val="20"/>
        </w:rPr>
        <w:t>Bordetella</w:t>
      </w:r>
      <w:proofErr w:type="spellEnd"/>
      <w:r w:rsidRPr="00B1326E">
        <w:rPr>
          <w:rFonts w:ascii="Verdana" w:hAnsi="Verdana" w:cs="Arial"/>
          <w:i/>
          <w:sz w:val="20"/>
          <w:szCs w:val="20"/>
        </w:rPr>
        <w:t xml:space="preserve"> </w:t>
      </w:r>
      <w:proofErr w:type="spellStart"/>
      <w:r w:rsidRPr="00B1326E">
        <w:rPr>
          <w:rFonts w:ascii="Verdana" w:hAnsi="Verdana" w:cs="Arial"/>
          <w:i/>
          <w:sz w:val="20"/>
          <w:szCs w:val="20"/>
        </w:rPr>
        <w:t>pertussis</w:t>
      </w:r>
      <w:proofErr w:type="spellEnd"/>
      <w:r w:rsidRPr="00B1326E">
        <w:rPr>
          <w:rFonts w:ascii="Verdana" w:hAnsi="Verdana" w:cs="Arial"/>
          <w:sz w:val="20"/>
          <w:szCs w:val="20"/>
        </w:rPr>
        <w:t xml:space="preserve"> que los países que vacunan solo con DTP y no con BCG. Tras realizar varios estudios para descartar otros factores </w:t>
      </w:r>
      <w:r w:rsidR="009C2382" w:rsidRPr="00B1326E">
        <w:rPr>
          <w:rFonts w:ascii="Verdana" w:hAnsi="Verdana" w:cs="Arial"/>
          <w:sz w:val="20"/>
          <w:szCs w:val="20"/>
        </w:rPr>
        <w:lastRenderedPageBreak/>
        <w:t>socioeconómicos</w:t>
      </w:r>
      <w:r w:rsidRPr="00B1326E">
        <w:rPr>
          <w:rFonts w:ascii="Verdana" w:hAnsi="Verdana" w:cs="Arial"/>
          <w:sz w:val="20"/>
          <w:szCs w:val="20"/>
        </w:rPr>
        <w:t xml:space="preserve"> que pudieran afectar a este resultado, se ha podido concluir que BCG ayuda a la vacuna DTP a reducir la incidencia de tosferina.</w:t>
      </w:r>
    </w:p>
    <w:p w14:paraId="60F51FFC" w14:textId="77777777" w:rsidR="00CE2812" w:rsidRDefault="00784713" w:rsidP="00784713">
      <w:pPr>
        <w:jc w:val="both"/>
        <w:rPr>
          <w:rFonts w:ascii="Verdana" w:hAnsi="Verdana" w:cs="Arial"/>
          <w:bCs/>
          <w:sz w:val="20"/>
          <w:szCs w:val="20"/>
        </w:rPr>
      </w:pPr>
      <w:r w:rsidRPr="00784713">
        <w:rPr>
          <w:rFonts w:ascii="Verdana" w:hAnsi="Verdana" w:cs="Arial"/>
          <w:bCs/>
          <w:sz w:val="20"/>
          <w:szCs w:val="20"/>
        </w:rPr>
        <w:t xml:space="preserve">Esther </w:t>
      </w:r>
      <w:proofErr w:type="spellStart"/>
      <w:r w:rsidRPr="00784713">
        <w:rPr>
          <w:rFonts w:ascii="Verdana" w:hAnsi="Verdana" w:cs="Arial"/>
          <w:bCs/>
          <w:sz w:val="20"/>
          <w:szCs w:val="20"/>
        </w:rPr>
        <w:t>Broset</w:t>
      </w:r>
      <w:proofErr w:type="spellEnd"/>
      <w:r w:rsidRPr="00784713">
        <w:rPr>
          <w:rFonts w:ascii="Verdana" w:hAnsi="Verdana" w:cs="Arial"/>
          <w:bCs/>
          <w:sz w:val="20"/>
          <w:szCs w:val="20"/>
        </w:rPr>
        <w:t xml:space="preserve">, bioquímica y doctora por la Universidad de Zaragoza, es coautora principal de este estudio realizado dentro del Grupo de Genética de Micobacterias que dirige el catedrático Carlos Martín -ambos investigadores del CIBER de Enfermedades Respiratorias (CIBERES)-, junto con el investigador Jacobo Pardo, miembro del grupo coordinado por Federico </w:t>
      </w:r>
      <w:proofErr w:type="spellStart"/>
      <w:r w:rsidRPr="00784713">
        <w:rPr>
          <w:rFonts w:ascii="Verdana" w:hAnsi="Verdana" w:cs="Arial"/>
          <w:bCs/>
          <w:sz w:val="20"/>
          <w:szCs w:val="20"/>
        </w:rPr>
        <w:t>Martinón</w:t>
      </w:r>
      <w:proofErr w:type="spellEnd"/>
      <w:r w:rsidRPr="00784713">
        <w:rPr>
          <w:rFonts w:ascii="Verdana" w:hAnsi="Verdana" w:cs="Arial"/>
          <w:bCs/>
          <w:sz w:val="20"/>
          <w:szCs w:val="20"/>
        </w:rPr>
        <w:t xml:space="preserve">-Torres (Universidad de Santiago, IIS Santiago, </w:t>
      </w:r>
      <w:proofErr w:type="spellStart"/>
      <w:r w:rsidRPr="00784713">
        <w:rPr>
          <w:rFonts w:ascii="Verdana" w:hAnsi="Verdana" w:cs="Arial"/>
          <w:bCs/>
          <w:sz w:val="20"/>
          <w:szCs w:val="20"/>
        </w:rPr>
        <w:t>GenVIP</w:t>
      </w:r>
      <w:proofErr w:type="spellEnd"/>
      <w:r w:rsidRPr="00784713">
        <w:rPr>
          <w:rFonts w:ascii="Verdana" w:hAnsi="Verdana" w:cs="Arial"/>
          <w:bCs/>
          <w:sz w:val="20"/>
          <w:szCs w:val="20"/>
        </w:rPr>
        <w:t>).</w:t>
      </w:r>
    </w:p>
    <w:p w14:paraId="33434111" w14:textId="3C1345E2" w:rsidR="00784713" w:rsidRPr="00CE2812" w:rsidRDefault="00CE2812" w:rsidP="00784713">
      <w:pPr>
        <w:jc w:val="both"/>
        <w:rPr>
          <w:rFonts w:ascii="Verdana" w:hAnsi="Verdana" w:cs="Arial"/>
          <w:sz w:val="20"/>
          <w:szCs w:val="20"/>
        </w:rPr>
      </w:pPr>
      <w:r w:rsidRPr="00B1326E">
        <w:rPr>
          <w:rFonts w:ascii="Verdana" w:hAnsi="Verdana" w:cs="Arial"/>
          <w:sz w:val="20"/>
          <w:szCs w:val="20"/>
        </w:rPr>
        <w:t xml:space="preserve">En el trabajo han participado además expertos de los equipos de Luciana </w:t>
      </w:r>
      <w:proofErr w:type="spellStart"/>
      <w:r w:rsidRPr="00B1326E">
        <w:rPr>
          <w:rFonts w:ascii="Verdana" w:hAnsi="Verdana" w:cs="Arial"/>
          <w:sz w:val="20"/>
          <w:szCs w:val="20"/>
        </w:rPr>
        <w:t>Leite</w:t>
      </w:r>
      <w:proofErr w:type="spellEnd"/>
      <w:r w:rsidRPr="00B1326E">
        <w:rPr>
          <w:rFonts w:ascii="Verdana" w:hAnsi="Verdana" w:cs="Arial"/>
          <w:sz w:val="20"/>
          <w:szCs w:val="20"/>
        </w:rPr>
        <w:t xml:space="preserve"> (Instituto </w:t>
      </w:r>
      <w:proofErr w:type="spellStart"/>
      <w:r w:rsidRPr="00B1326E">
        <w:rPr>
          <w:rFonts w:ascii="Verdana" w:hAnsi="Verdana" w:cs="Arial"/>
          <w:sz w:val="20"/>
          <w:szCs w:val="20"/>
        </w:rPr>
        <w:t>Butantan</w:t>
      </w:r>
      <w:proofErr w:type="spellEnd"/>
      <w:r w:rsidRPr="00B1326E">
        <w:rPr>
          <w:rFonts w:ascii="Verdana" w:hAnsi="Verdana" w:cs="Arial"/>
          <w:sz w:val="20"/>
          <w:szCs w:val="20"/>
        </w:rPr>
        <w:t xml:space="preserve"> de Brasil), Camille </w:t>
      </w:r>
      <w:proofErr w:type="spellStart"/>
      <w:r w:rsidRPr="00B1326E">
        <w:rPr>
          <w:rFonts w:ascii="Verdana" w:hAnsi="Verdana" w:cs="Arial"/>
          <w:sz w:val="20"/>
          <w:szCs w:val="20"/>
        </w:rPr>
        <w:t>Locht</w:t>
      </w:r>
      <w:proofErr w:type="spellEnd"/>
      <w:r w:rsidRPr="00B1326E">
        <w:rPr>
          <w:rFonts w:ascii="Verdana" w:hAnsi="Verdana" w:cs="Arial"/>
          <w:sz w:val="20"/>
          <w:szCs w:val="20"/>
        </w:rPr>
        <w:t xml:space="preserve"> (Instituto Pasteur de Lille de Francia), Carlos Martín (Universidad de Zaragoza, CIBERES), y Federico </w:t>
      </w:r>
      <w:proofErr w:type="spellStart"/>
      <w:r w:rsidRPr="00B1326E">
        <w:rPr>
          <w:rFonts w:ascii="Verdana" w:hAnsi="Verdana" w:cs="Arial"/>
          <w:sz w:val="20"/>
          <w:szCs w:val="20"/>
        </w:rPr>
        <w:t>Martinón</w:t>
      </w:r>
      <w:proofErr w:type="spellEnd"/>
      <w:r w:rsidRPr="00B1326E">
        <w:rPr>
          <w:rFonts w:ascii="Verdana" w:hAnsi="Verdana" w:cs="Arial"/>
          <w:sz w:val="20"/>
          <w:szCs w:val="20"/>
        </w:rPr>
        <w:t xml:space="preserve">-Torres (Universidad de Santiago, IIS Santiago, </w:t>
      </w:r>
      <w:proofErr w:type="spellStart"/>
      <w:r w:rsidRPr="00B1326E">
        <w:rPr>
          <w:rFonts w:ascii="Verdana" w:hAnsi="Verdana" w:cs="Arial"/>
          <w:sz w:val="20"/>
          <w:szCs w:val="20"/>
        </w:rPr>
        <w:t>GenVIP</w:t>
      </w:r>
      <w:proofErr w:type="spellEnd"/>
      <w:r w:rsidRPr="00B1326E">
        <w:rPr>
          <w:rFonts w:ascii="Verdana" w:hAnsi="Verdana" w:cs="Arial"/>
          <w:sz w:val="20"/>
          <w:szCs w:val="20"/>
        </w:rPr>
        <w:t xml:space="preserve">). </w:t>
      </w:r>
      <w:r w:rsidR="00784713" w:rsidRPr="00784713">
        <w:rPr>
          <w:rFonts w:ascii="Verdana" w:hAnsi="Verdana" w:cs="Arial"/>
          <w:bCs/>
          <w:sz w:val="20"/>
          <w:szCs w:val="20"/>
        </w:rPr>
        <w:t xml:space="preserve"> </w:t>
      </w:r>
    </w:p>
    <w:p w14:paraId="504A9479" w14:textId="75046A7B" w:rsidR="00AD4E6C" w:rsidRPr="00B1326E" w:rsidRDefault="00AD4E6C" w:rsidP="00AD4E6C">
      <w:pPr>
        <w:jc w:val="both"/>
        <w:rPr>
          <w:rFonts w:ascii="Verdana" w:hAnsi="Verdana" w:cs="Arial"/>
          <w:sz w:val="20"/>
          <w:szCs w:val="20"/>
        </w:rPr>
      </w:pPr>
      <w:r w:rsidRPr="00B1326E">
        <w:rPr>
          <w:rFonts w:ascii="Verdana" w:hAnsi="Verdana" w:cs="Arial"/>
          <w:sz w:val="20"/>
          <w:szCs w:val="20"/>
        </w:rPr>
        <w:t xml:space="preserve">Además, los investigadores también demostraron que, tanto BCG, como la nueva vacuna contra la tuberculosis MTBVAC, mejoran la inmunidad generada por la vacuna DTP en modelos murinos. Y que esta respuesta inmunológica es más potente y variada que cuando se usa DTP en solitario. </w:t>
      </w:r>
    </w:p>
    <w:p w14:paraId="14FC3338" w14:textId="4575E9EB" w:rsidR="00AD4E6C" w:rsidRPr="009C2382" w:rsidRDefault="00AD4E6C" w:rsidP="00AD4E6C">
      <w:pPr>
        <w:jc w:val="both"/>
        <w:rPr>
          <w:rFonts w:ascii="Verdana" w:hAnsi="Verdana" w:cs="Arial"/>
          <w:i/>
          <w:iCs/>
          <w:sz w:val="20"/>
          <w:szCs w:val="20"/>
        </w:rPr>
      </w:pPr>
      <w:r w:rsidRPr="00B1326E">
        <w:rPr>
          <w:rFonts w:ascii="Verdana" w:hAnsi="Verdana" w:cs="Arial"/>
          <w:sz w:val="20"/>
          <w:szCs w:val="20"/>
        </w:rPr>
        <w:t xml:space="preserve">Esta es la primera vez que se demuestra algo similar en el campo de las vacunas contra la tuberculosis. Durante los últimos 20 años, el Grupo de Genética de Micobacterias de la Universidad de Zaragoza viene desarrollando la vacuna MTBVAC, que se encuentra en ensayos clínicos. Ya que MTBVAC tiene como objetivo sustituir a BCG, demostrar que mantiene los beneficios de la centenaria BCG es fundamental </w:t>
      </w:r>
      <w:r w:rsidRPr="009C2382">
        <w:rPr>
          <w:rFonts w:ascii="Verdana" w:hAnsi="Verdana" w:cs="Arial"/>
          <w:i/>
          <w:iCs/>
          <w:sz w:val="20"/>
          <w:szCs w:val="20"/>
        </w:rPr>
        <w:t>para poder avanzar en los ensayos clínicos de esta vacuna.</w:t>
      </w:r>
    </w:p>
    <w:p w14:paraId="006D5142" w14:textId="4A6CC711" w:rsidR="00AD4E6C" w:rsidRPr="00CE2812" w:rsidRDefault="00AD4E6C" w:rsidP="00AD4E6C">
      <w:pPr>
        <w:jc w:val="both"/>
        <w:rPr>
          <w:rFonts w:ascii="Verdana" w:hAnsi="Verdana" w:cs="Arial"/>
          <w:sz w:val="20"/>
          <w:szCs w:val="20"/>
        </w:rPr>
      </w:pPr>
      <w:r w:rsidRPr="009C2382">
        <w:rPr>
          <w:rFonts w:ascii="Verdana" w:hAnsi="Verdana" w:cs="Arial"/>
          <w:i/>
          <w:iCs/>
          <w:sz w:val="20"/>
          <w:szCs w:val="20"/>
        </w:rPr>
        <w:t>“Nuestros resultados abren perspectivas innovadoras para el uso de MTBVAC y BCG en humanos. Aunque BCG ya no se encuentra en el calendario de vacunación de muchos países, incluido España, su inclusión en los programas de inmunización reporta numerosos beneficios, como potenciar nuestro sistema inmune contra múltiples patógenos o incluso prevenir otras enfermedades con componente inmunológico”</w:t>
      </w:r>
      <w:r w:rsidRPr="00B1326E">
        <w:rPr>
          <w:rFonts w:ascii="Verdana" w:hAnsi="Verdana" w:cs="Arial"/>
          <w:sz w:val="20"/>
          <w:szCs w:val="20"/>
        </w:rPr>
        <w:t xml:space="preserve">, han destacado los autores principales Esther </w:t>
      </w:r>
      <w:proofErr w:type="spellStart"/>
      <w:r w:rsidRPr="00B1326E">
        <w:rPr>
          <w:rFonts w:ascii="Verdana" w:hAnsi="Verdana" w:cs="Arial"/>
          <w:sz w:val="20"/>
          <w:szCs w:val="20"/>
        </w:rPr>
        <w:t>Broset</w:t>
      </w:r>
      <w:proofErr w:type="spellEnd"/>
      <w:r w:rsidRPr="00B1326E">
        <w:rPr>
          <w:rFonts w:ascii="Verdana" w:hAnsi="Verdana" w:cs="Arial"/>
          <w:sz w:val="20"/>
          <w:szCs w:val="20"/>
        </w:rPr>
        <w:t xml:space="preserve"> y Federico </w:t>
      </w:r>
      <w:proofErr w:type="spellStart"/>
      <w:r w:rsidRPr="00B1326E">
        <w:rPr>
          <w:rFonts w:ascii="Verdana" w:hAnsi="Verdana" w:cs="Arial"/>
          <w:sz w:val="20"/>
          <w:szCs w:val="20"/>
        </w:rPr>
        <w:t>Martinón</w:t>
      </w:r>
      <w:proofErr w:type="spellEnd"/>
      <w:r w:rsidRPr="00B1326E">
        <w:rPr>
          <w:rFonts w:ascii="Verdana" w:hAnsi="Verdana" w:cs="Arial"/>
          <w:sz w:val="20"/>
          <w:szCs w:val="20"/>
        </w:rPr>
        <w:t xml:space="preserve">-Torres. </w:t>
      </w:r>
    </w:p>
    <w:p w14:paraId="7CD309FE" w14:textId="77777777" w:rsidR="00AD4E6C" w:rsidRPr="00B1326E" w:rsidRDefault="00AD4E6C" w:rsidP="00AD4E6C">
      <w:pPr>
        <w:jc w:val="both"/>
        <w:rPr>
          <w:rFonts w:ascii="Verdana" w:hAnsi="Verdana" w:cs="Arial"/>
          <w:b/>
          <w:bCs/>
          <w:sz w:val="20"/>
          <w:szCs w:val="20"/>
        </w:rPr>
      </w:pPr>
      <w:r w:rsidRPr="00B1326E">
        <w:rPr>
          <w:rFonts w:ascii="Verdana" w:hAnsi="Verdana" w:cs="Arial"/>
          <w:b/>
          <w:bCs/>
          <w:sz w:val="20"/>
          <w:szCs w:val="20"/>
        </w:rPr>
        <w:t>Enlace al artículo:</w:t>
      </w:r>
    </w:p>
    <w:p w14:paraId="47335E3E" w14:textId="77777777" w:rsidR="00AD4E6C" w:rsidRDefault="00CE2812" w:rsidP="00AD4E6C">
      <w:pPr>
        <w:rPr>
          <w:rFonts w:ascii="Verdana" w:hAnsi="Verdana" w:cs="Arial"/>
          <w:sz w:val="20"/>
          <w:szCs w:val="20"/>
        </w:rPr>
      </w:pPr>
      <w:hyperlink r:id="rId8" w:history="1">
        <w:r w:rsidR="00AD4E6C">
          <w:rPr>
            <w:rStyle w:val="Hipervnculo"/>
            <w:rFonts w:ascii="Verdana" w:hAnsi="Verdana" w:cs="Arial"/>
            <w:sz w:val="20"/>
            <w:szCs w:val="20"/>
          </w:rPr>
          <w:t>https://www.thelancet.com/journals/ebiom/article/PIIS2352-3964(21)00047-5/fulltext</w:t>
        </w:r>
      </w:hyperlink>
    </w:p>
    <w:p w14:paraId="74C5E5AD" w14:textId="77777777" w:rsidR="00720285" w:rsidRDefault="00720285" w:rsidP="00720285">
      <w:pPr>
        <w:rPr>
          <w:rFonts w:ascii="Arial" w:hAnsi="Arial" w:cs="Arial"/>
        </w:rPr>
      </w:pPr>
    </w:p>
    <w:p w14:paraId="67091C1A" w14:textId="77777777" w:rsidR="00720285" w:rsidRPr="00B1326E" w:rsidRDefault="00720285" w:rsidP="00B1326E">
      <w:pPr>
        <w:jc w:val="both"/>
        <w:rPr>
          <w:rFonts w:ascii="Verdana" w:hAnsi="Verdana" w:cs="Arial"/>
          <w:b/>
          <w:bCs/>
          <w:sz w:val="20"/>
          <w:szCs w:val="20"/>
        </w:rPr>
      </w:pPr>
      <w:r w:rsidRPr="00B1326E">
        <w:rPr>
          <w:rFonts w:ascii="Verdana" w:hAnsi="Verdana" w:cs="Arial"/>
          <w:b/>
          <w:bCs/>
          <w:sz w:val="20"/>
          <w:szCs w:val="20"/>
        </w:rPr>
        <w:t>Sobre MTBVAC</w:t>
      </w:r>
    </w:p>
    <w:p w14:paraId="543D0946" w14:textId="3D93B01D" w:rsidR="00830CE9" w:rsidRPr="00B1326E" w:rsidRDefault="00720285" w:rsidP="00265FC7">
      <w:pPr>
        <w:jc w:val="both"/>
        <w:rPr>
          <w:rFonts w:ascii="Verdana" w:hAnsi="Verdana" w:cs="Arial"/>
          <w:sz w:val="20"/>
          <w:szCs w:val="20"/>
        </w:rPr>
      </w:pPr>
      <w:r w:rsidRPr="00B1326E">
        <w:rPr>
          <w:rFonts w:ascii="Verdana" w:hAnsi="Verdana" w:cs="Arial"/>
          <w:sz w:val="20"/>
          <w:szCs w:val="20"/>
        </w:rPr>
        <w:t xml:space="preserve">MTBVAC es la única vacuna contra la tuberculosis en ensayos clínicos basada en una forma genéticamente modificada del patógeno aislado de humanos </w:t>
      </w:r>
      <w:proofErr w:type="spellStart"/>
      <w:r w:rsidRPr="00B1326E">
        <w:rPr>
          <w:rFonts w:ascii="Verdana" w:hAnsi="Verdana" w:cs="Arial"/>
          <w:sz w:val="20"/>
          <w:szCs w:val="20"/>
        </w:rPr>
        <w:t>Mycobacterium</w:t>
      </w:r>
      <w:proofErr w:type="spellEnd"/>
      <w:r w:rsidRPr="00B1326E">
        <w:rPr>
          <w:rFonts w:ascii="Verdana" w:hAnsi="Verdana" w:cs="Arial"/>
          <w:sz w:val="20"/>
          <w:szCs w:val="20"/>
        </w:rPr>
        <w:t xml:space="preserve"> tuberculosis que a diferencia de BCG contiene todos los antígenos presentes en cepas que infectan a los humanos. Esta vacuna se construyó en el laboratorio de la Universidad de Zaragoza, el cual forma parte de CIBERES desde sus </w:t>
      </w:r>
      <w:proofErr w:type="gramStart"/>
      <w:r w:rsidRPr="00B1326E">
        <w:rPr>
          <w:rFonts w:ascii="Verdana" w:hAnsi="Verdana" w:cs="Arial"/>
          <w:sz w:val="20"/>
          <w:szCs w:val="20"/>
        </w:rPr>
        <w:t>inicios ,</w:t>
      </w:r>
      <w:proofErr w:type="gramEnd"/>
      <w:r w:rsidRPr="00B1326E">
        <w:rPr>
          <w:rFonts w:ascii="Verdana" w:hAnsi="Verdana" w:cs="Arial"/>
          <w:sz w:val="20"/>
          <w:szCs w:val="20"/>
        </w:rPr>
        <w:t xml:space="preserve"> en colaboración con la </w:t>
      </w:r>
      <w:proofErr w:type="spellStart"/>
      <w:r w:rsidRPr="00B1326E">
        <w:rPr>
          <w:rFonts w:ascii="Verdana" w:hAnsi="Verdana" w:cs="Arial"/>
          <w:sz w:val="20"/>
          <w:szCs w:val="20"/>
        </w:rPr>
        <w:t>Dra</w:t>
      </w:r>
      <w:proofErr w:type="spellEnd"/>
      <w:r w:rsidRPr="00B1326E">
        <w:rPr>
          <w:rFonts w:ascii="Verdana" w:hAnsi="Verdana" w:cs="Arial"/>
          <w:sz w:val="20"/>
          <w:szCs w:val="20"/>
        </w:rPr>
        <w:t xml:space="preserve"> Brigitte </w:t>
      </w:r>
      <w:proofErr w:type="spellStart"/>
      <w:r w:rsidRPr="00B1326E">
        <w:rPr>
          <w:rFonts w:ascii="Verdana" w:hAnsi="Verdana" w:cs="Arial"/>
          <w:sz w:val="20"/>
          <w:szCs w:val="20"/>
        </w:rPr>
        <w:t>Gicquel</w:t>
      </w:r>
      <w:proofErr w:type="spellEnd"/>
      <w:r w:rsidRPr="00B1326E">
        <w:rPr>
          <w:rFonts w:ascii="Verdana" w:hAnsi="Verdana" w:cs="Arial"/>
          <w:sz w:val="20"/>
          <w:szCs w:val="20"/>
        </w:rPr>
        <w:t xml:space="preserve"> del Instituto Pasteur de Paris. Actualmente la Universidad de Zaragoza cuenta como socio industrial con la empresa biotecnológica española BIOFABRI, </w:t>
      </w:r>
      <w:hyperlink r:id="rId9" w:history="1">
        <w:r w:rsidRPr="00B1326E">
          <w:rPr>
            <w:rFonts w:ascii="Verdana" w:hAnsi="Verdana"/>
            <w:sz w:val="20"/>
            <w:szCs w:val="20"/>
          </w:rPr>
          <w:t>www.biofabri.es</w:t>
        </w:r>
      </w:hyperlink>
      <w:r w:rsidRPr="00B1326E">
        <w:rPr>
          <w:rFonts w:ascii="Verdana" w:hAnsi="Verdana" w:cs="Arial"/>
          <w:sz w:val="20"/>
          <w:szCs w:val="20"/>
        </w:rPr>
        <w:t xml:space="preserve"> , responsable del desarrollo industrial y clínico de MTBVAC, estudiando su inmunidad y seguridad en dos ensayos </w:t>
      </w:r>
      <w:r w:rsidRPr="00B1326E">
        <w:rPr>
          <w:rFonts w:ascii="Verdana" w:hAnsi="Verdana" w:cs="Arial"/>
          <w:sz w:val="20"/>
          <w:szCs w:val="20"/>
        </w:rPr>
        <w:lastRenderedPageBreak/>
        <w:t xml:space="preserve">Fase </w:t>
      </w:r>
      <w:proofErr w:type="spellStart"/>
      <w:r w:rsidRPr="00B1326E">
        <w:rPr>
          <w:rFonts w:ascii="Verdana" w:hAnsi="Verdana" w:cs="Arial"/>
          <w:sz w:val="20"/>
          <w:szCs w:val="20"/>
        </w:rPr>
        <w:t>IIa</w:t>
      </w:r>
      <w:proofErr w:type="spellEnd"/>
      <w:r w:rsidRPr="00B1326E">
        <w:rPr>
          <w:rFonts w:ascii="Verdana" w:hAnsi="Verdana" w:cs="Arial"/>
          <w:sz w:val="20"/>
          <w:szCs w:val="20"/>
        </w:rPr>
        <w:t xml:space="preserve"> en bebes y adultos en Sudáfrica. Se espera comenzar los estudios de eficacia de la vacuna el próximo año. Para el Desarrollo Clínico el </w:t>
      </w:r>
      <w:proofErr w:type="gramStart"/>
      <w:r w:rsidRPr="00B1326E">
        <w:rPr>
          <w:rFonts w:ascii="Verdana" w:hAnsi="Verdana" w:cs="Arial"/>
          <w:sz w:val="20"/>
          <w:szCs w:val="20"/>
        </w:rPr>
        <w:t>proyecto  vacuna</w:t>
      </w:r>
      <w:proofErr w:type="gramEnd"/>
      <w:r w:rsidRPr="00B1326E">
        <w:rPr>
          <w:rFonts w:ascii="Verdana" w:hAnsi="Verdana" w:cs="Arial"/>
          <w:sz w:val="20"/>
          <w:szCs w:val="20"/>
        </w:rPr>
        <w:t xml:space="preserve"> tuberculosis MTBVAC cuenta desde el año 2008 con el asesoramiento y apoyo de la iniciativa Europea vacuna tuberculosis TBVI (</w:t>
      </w:r>
      <w:hyperlink r:id="rId10" w:history="1">
        <w:r w:rsidRPr="00B1326E">
          <w:rPr>
            <w:rFonts w:ascii="Verdana" w:hAnsi="Verdana"/>
            <w:sz w:val="20"/>
            <w:szCs w:val="20"/>
          </w:rPr>
          <w:t>https://www.tbvi.eu/</w:t>
        </w:r>
      </w:hyperlink>
      <w:r w:rsidRPr="00B1326E">
        <w:rPr>
          <w:rFonts w:ascii="Verdana" w:hAnsi="Verdana" w:cs="Arial"/>
          <w:sz w:val="20"/>
          <w:szCs w:val="20"/>
        </w:rPr>
        <w:t>) y desde el año 2016 con IAVI (</w:t>
      </w:r>
      <w:hyperlink r:id="rId11" w:history="1">
        <w:r w:rsidRPr="00B1326E">
          <w:rPr>
            <w:rFonts w:ascii="Verdana" w:hAnsi="Verdana"/>
            <w:sz w:val="20"/>
            <w:szCs w:val="20"/>
          </w:rPr>
          <w:t>https://www.iavi.org/our-science/tuberculosis-vaccines</w:t>
        </w:r>
      </w:hyperlink>
      <w:r w:rsidRPr="00B1326E">
        <w:rPr>
          <w:rFonts w:ascii="Verdana" w:hAnsi="Verdana" w:cs="Arial"/>
          <w:sz w:val="20"/>
          <w:szCs w:val="20"/>
        </w:rPr>
        <w:t xml:space="preserve">) para el desarrollo clínico en adultos.  </w:t>
      </w:r>
    </w:p>
    <w:p w14:paraId="7D6E04C7" w14:textId="77777777" w:rsidR="00AC1239" w:rsidRPr="00B1326E" w:rsidRDefault="00AC1239" w:rsidP="00B1326E">
      <w:pPr>
        <w:jc w:val="both"/>
        <w:rPr>
          <w:rFonts w:ascii="Verdana" w:hAnsi="Verdana" w:cs="Arial"/>
          <w:b/>
          <w:bCs/>
          <w:sz w:val="20"/>
          <w:szCs w:val="20"/>
        </w:rPr>
      </w:pPr>
      <w:bookmarkStart w:id="0" w:name="_Hlk63964953"/>
      <w:r w:rsidRPr="00B1326E">
        <w:rPr>
          <w:rFonts w:ascii="Verdana" w:hAnsi="Verdana" w:cs="Arial"/>
          <w:b/>
          <w:bCs/>
          <w:sz w:val="20"/>
          <w:szCs w:val="20"/>
        </w:rPr>
        <w:t>Sobre el CIBERES</w:t>
      </w:r>
    </w:p>
    <w:p w14:paraId="4E51C414" w14:textId="2C41B5DD" w:rsidR="005D13F1" w:rsidRPr="00B1326E" w:rsidRDefault="00AC1239" w:rsidP="005D13F1">
      <w:pPr>
        <w:jc w:val="both"/>
        <w:rPr>
          <w:rFonts w:ascii="Verdana" w:hAnsi="Verdana" w:cs="Arial"/>
          <w:sz w:val="20"/>
          <w:szCs w:val="20"/>
        </w:rPr>
      </w:pPr>
      <w:r w:rsidRPr="00B1326E">
        <w:rPr>
          <w:rFonts w:ascii="Verdana" w:hAnsi="Verdana" w:cs="Arial"/>
          <w:sz w:val="20"/>
          <w:szCs w:val="20"/>
        </w:rPr>
        <w:t>El Centro de Investigación Biomédica en Red (CIBER) es un consorcio dependiente del Instituto de Salud Carlos III (Ministerio de Ciencia, Innovación y Universidades) y cofinanciado con fondos FEDER. El CIBER de Enfermedades Respiratorias (CIBERES) tiene como finalidad fomentar y facilitar la investigación de las enfermedades respiratorias por medio de la investigación de excelencia y su traslación rápida y segura a la práctica clínica. Creado en 2007, el CIBERES reúne actualmente a cerca de 400 investigadores de 9 comunidades autónomas que trabajan conjuntamente en 3 Programas Científicos, que integran las siguientes líneas de investigación: cáncer de pulmón, apneas del sueño, fibrosis pulmonar, hipertensión pulmonar, asma, lesión pulmonar aguda, tuberculosis, neumonías, Enfermedad Pulmonar Obstructiva Crónica (EPOC) y nuevas dianas terapéuticas.</w:t>
      </w:r>
    </w:p>
    <w:p w14:paraId="31DC1101" w14:textId="77777777" w:rsidR="005D13F1" w:rsidRPr="00AC1239" w:rsidRDefault="005D13F1" w:rsidP="005D13F1">
      <w:pPr>
        <w:jc w:val="both"/>
        <w:rPr>
          <w:rFonts w:ascii="Cambria" w:eastAsia="Times New Roman" w:hAnsi="Cambria" w:cs="Times New Roman"/>
          <w:b/>
          <w:kern w:val="2"/>
        </w:rPr>
      </w:pPr>
      <w:r w:rsidRPr="00AC1239">
        <w:rPr>
          <w:rFonts w:ascii="Cambria" w:eastAsia="Times New Roman" w:hAnsi="Cambria" w:cs="Times New Roman"/>
          <w:b/>
          <w:kern w:val="2"/>
        </w:rPr>
        <w:t xml:space="preserve">Más información </w:t>
      </w:r>
    </w:p>
    <w:p w14:paraId="49B61299" w14:textId="62850FC1" w:rsidR="000F1382" w:rsidRPr="00AC1239" w:rsidRDefault="005D13F1" w:rsidP="005D13F1">
      <w:pPr>
        <w:jc w:val="both"/>
        <w:rPr>
          <w:b/>
          <w:bCs/>
        </w:rPr>
      </w:pPr>
      <w:r w:rsidRPr="00AC1239">
        <w:rPr>
          <w:rFonts w:asciiTheme="majorHAnsi" w:hAnsiTheme="majorHAnsi" w:cs="Arial"/>
        </w:rPr>
        <w:t xml:space="preserve">Departamento de comunicación CIBER  </w:t>
      </w:r>
      <w:hyperlink r:id="rId12" w:history="1">
        <w:r w:rsidRPr="00AC1239">
          <w:rPr>
            <w:rStyle w:val="Hipervnculo"/>
            <w:rFonts w:asciiTheme="majorHAnsi" w:hAnsiTheme="majorHAnsi" w:cs="Arial"/>
          </w:rPr>
          <w:t>comunicacion@ciberisciii.es</w:t>
        </w:r>
      </w:hyperlink>
    </w:p>
    <w:bookmarkEnd w:id="0"/>
    <w:sectPr w:rsidR="000F1382" w:rsidRPr="00AC1239">
      <w:head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C0D93E" w14:textId="77777777" w:rsidR="00667212" w:rsidRDefault="00667212" w:rsidP="0059118B">
      <w:pPr>
        <w:spacing w:after="0" w:line="240" w:lineRule="auto"/>
      </w:pPr>
      <w:r>
        <w:separator/>
      </w:r>
    </w:p>
  </w:endnote>
  <w:endnote w:type="continuationSeparator" w:id="0">
    <w:p w14:paraId="78D7B72D" w14:textId="77777777" w:rsidR="00667212" w:rsidRDefault="00667212" w:rsidP="00591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EC548A" w14:textId="77777777" w:rsidR="00667212" w:rsidRDefault="00667212" w:rsidP="0059118B">
      <w:pPr>
        <w:spacing w:after="0" w:line="240" w:lineRule="auto"/>
      </w:pPr>
      <w:r>
        <w:separator/>
      </w:r>
    </w:p>
  </w:footnote>
  <w:footnote w:type="continuationSeparator" w:id="0">
    <w:p w14:paraId="7A68AE3F" w14:textId="77777777" w:rsidR="00667212" w:rsidRDefault="00667212" w:rsidP="005911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B9AF8" w14:textId="52A39D35" w:rsidR="0059118B" w:rsidRDefault="003F30B6" w:rsidP="0059118B">
    <w:pPr>
      <w:pStyle w:val="Encabezado"/>
      <w:jc w:val="center"/>
    </w:pPr>
    <w:r>
      <w:rPr>
        <w:noProof/>
        <w:lang w:eastAsia="es-ES"/>
      </w:rPr>
      <w:drawing>
        <wp:anchor distT="0" distB="0" distL="114300" distR="114300" simplePos="0" relativeHeight="251661312" behindDoc="0" locked="0" layoutInCell="1" allowOverlap="1" wp14:anchorId="717131D2" wp14:editId="41725728">
          <wp:simplePos x="0" y="0"/>
          <wp:positionH relativeFrom="column">
            <wp:posOffset>4615815</wp:posOffset>
          </wp:positionH>
          <wp:positionV relativeFrom="paragraph">
            <wp:posOffset>-220980</wp:posOffset>
          </wp:positionV>
          <wp:extent cx="609600" cy="494030"/>
          <wp:effectExtent l="0" t="0" r="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4940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2336" behindDoc="0" locked="0" layoutInCell="1" allowOverlap="1" wp14:anchorId="7BBE254A" wp14:editId="0B0823C9">
          <wp:simplePos x="0" y="0"/>
          <wp:positionH relativeFrom="column">
            <wp:posOffset>1367790</wp:posOffset>
          </wp:positionH>
          <wp:positionV relativeFrom="paragraph">
            <wp:posOffset>-220980</wp:posOffset>
          </wp:positionV>
          <wp:extent cx="1314450" cy="476250"/>
          <wp:effectExtent l="0" t="0" r="0" b="0"/>
          <wp:wrapNone/>
          <wp:docPr id="1" name="Imagen 1" descr="LOGO-03-ISCIII-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3-ISCIII-GRAN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4450" cy="476250"/>
                  </a:xfrm>
                  <a:prstGeom prst="rect">
                    <a:avLst/>
                  </a:prstGeom>
                  <a:noFill/>
                  <a:ln>
                    <a:noFill/>
                  </a:ln>
                </pic:spPr>
              </pic:pic>
            </a:graphicData>
          </a:graphic>
          <wp14:sizeRelV relativeFrom="margin">
            <wp14:pctHeight>0</wp14:pctHeight>
          </wp14:sizeRelV>
        </wp:anchor>
      </w:drawing>
    </w:r>
    <w:r>
      <w:rPr>
        <w:noProof/>
        <w:lang w:eastAsia="es-ES"/>
      </w:rPr>
      <w:drawing>
        <wp:anchor distT="0" distB="0" distL="114300" distR="114300" simplePos="0" relativeHeight="251660288" behindDoc="0" locked="0" layoutInCell="1" allowOverlap="1" wp14:anchorId="422A324D" wp14:editId="28881C66">
          <wp:simplePos x="0" y="0"/>
          <wp:positionH relativeFrom="column">
            <wp:posOffset>2796540</wp:posOffset>
          </wp:positionH>
          <wp:positionV relativeFrom="paragraph">
            <wp:posOffset>-220980</wp:posOffset>
          </wp:positionV>
          <wp:extent cx="1688465" cy="447675"/>
          <wp:effectExtent l="0" t="0" r="6985" b="9525"/>
          <wp:wrapThrough wrapText="bothSides">
            <wp:wrapPolygon edited="0">
              <wp:start x="0" y="0"/>
              <wp:lineTo x="0" y="21140"/>
              <wp:lineTo x="21446" y="21140"/>
              <wp:lineTo x="21446"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
                    <a:extLst>
                      <a:ext uri="{28A0092B-C50C-407E-A947-70E740481C1C}">
                        <a14:useLocalDpi xmlns:a14="http://schemas.microsoft.com/office/drawing/2010/main" val="0"/>
                      </a:ext>
                    </a:extLst>
                  </a:blip>
                  <a:srcRect l="46565"/>
                  <a:stretch>
                    <a:fillRect/>
                  </a:stretch>
                </pic:blipFill>
                <pic:spPr bwMode="auto">
                  <a:xfrm>
                    <a:off x="0" y="0"/>
                    <a:ext cx="1688465" cy="447675"/>
                  </a:xfrm>
                  <a:prstGeom prst="rect">
                    <a:avLst/>
                  </a:prstGeom>
                  <a:noFill/>
                </pic:spPr>
              </pic:pic>
            </a:graphicData>
          </a:graphic>
          <wp14:sizeRelH relativeFrom="margin">
            <wp14:pctWidth>0</wp14:pctWidth>
          </wp14:sizeRelH>
          <wp14:sizeRelV relativeFrom="margin">
            <wp14:pctHeight>0</wp14:pctHeight>
          </wp14:sizeRelV>
        </wp:anchor>
      </w:drawing>
    </w:r>
    <w:r w:rsidRPr="00F825BD">
      <w:rPr>
        <w:noProof/>
        <w:lang w:eastAsia="es-ES"/>
      </w:rPr>
      <w:drawing>
        <wp:anchor distT="0" distB="0" distL="114300" distR="114300" simplePos="0" relativeHeight="251659264" behindDoc="0" locked="0" layoutInCell="1" allowOverlap="1" wp14:anchorId="7AE7892B" wp14:editId="69D2EA92">
          <wp:simplePos x="0" y="0"/>
          <wp:positionH relativeFrom="column">
            <wp:posOffset>-6350</wp:posOffset>
          </wp:positionH>
          <wp:positionV relativeFrom="paragraph">
            <wp:posOffset>-299085</wp:posOffset>
          </wp:positionV>
          <wp:extent cx="1352550" cy="647065"/>
          <wp:effectExtent l="0" t="0" r="0" b="635"/>
          <wp:wrapNone/>
          <wp:docPr id="4" name="Picture 0" descr="logoCi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iber.jpg"/>
                  <pic:cNvPicPr/>
                </pic:nvPicPr>
                <pic:blipFill rotWithShape="1">
                  <a:blip r:embed="rId4">
                    <a:extLst>
                      <a:ext uri="{28A0092B-C50C-407E-A947-70E740481C1C}">
                        <a14:useLocalDpi xmlns:a14="http://schemas.microsoft.com/office/drawing/2010/main" val="0"/>
                      </a:ext>
                    </a:extLst>
                  </a:blip>
                  <a:srcRect l="13236" t="16176" r="8991" b="17632"/>
                  <a:stretch/>
                </pic:blipFill>
                <pic:spPr bwMode="auto">
                  <a:xfrm>
                    <a:off x="0" y="0"/>
                    <a:ext cx="1352550" cy="647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9058AF" w14:textId="77777777" w:rsidR="005D11BA" w:rsidRDefault="005D11BA" w:rsidP="0059118B">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F7A91"/>
    <w:multiLevelType w:val="hybridMultilevel"/>
    <w:tmpl w:val="F68ACF94"/>
    <w:lvl w:ilvl="0" w:tplc="C342534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9064E9D"/>
    <w:multiLevelType w:val="hybridMultilevel"/>
    <w:tmpl w:val="31E204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0B77C7"/>
    <w:multiLevelType w:val="hybridMultilevel"/>
    <w:tmpl w:val="0324F1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0D72A29"/>
    <w:multiLevelType w:val="hybridMultilevel"/>
    <w:tmpl w:val="4412E63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cs="Wingdings" w:hint="default"/>
      </w:rPr>
    </w:lvl>
    <w:lvl w:ilvl="3" w:tplc="0C0A0001" w:tentative="1">
      <w:start w:val="1"/>
      <w:numFmt w:val="bullet"/>
      <w:lvlText w:val=""/>
      <w:lvlJc w:val="left"/>
      <w:pPr>
        <w:ind w:left="3600" w:hanging="360"/>
      </w:pPr>
      <w:rPr>
        <w:rFonts w:ascii="Symbol" w:hAnsi="Symbol" w:cs="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cs="Wingdings" w:hint="default"/>
      </w:rPr>
    </w:lvl>
    <w:lvl w:ilvl="6" w:tplc="0C0A0001" w:tentative="1">
      <w:start w:val="1"/>
      <w:numFmt w:val="bullet"/>
      <w:lvlText w:val=""/>
      <w:lvlJc w:val="left"/>
      <w:pPr>
        <w:ind w:left="5760" w:hanging="360"/>
      </w:pPr>
      <w:rPr>
        <w:rFonts w:ascii="Symbol" w:hAnsi="Symbol" w:cs="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cs="Wingdings" w:hint="default"/>
      </w:rPr>
    </w:lvl>
  </w:abstractNum>
  <w:abstractNum w:abstractNumId="4" w15:restartNumberingAfterBreak="0">
    <w:nsid w:val="1AC113C8"/>
    <w:multiLevelType w:val="hybridMultilevel"/>
    <w:tmpl w:val="D6F03920"/>
    <w:lvl w:ilvl="0" w:tplc="C342534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B985B5D"/>
    <w:multiLevelType w:val="hybridMultilevel"/>
    <w:tmpl w:val="6E1A78F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5D355D4"/>
    <w:multiLevelType w:val="hybridMultilevel"/>
    <w:tmpl w:val="C76C0BB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291B1ECE"/>
    <w:multiLevelType w:val="hybridMultilevel"/>
    <w:tmpl w:val="DFF2C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FAE5C17"/>
    <w:multiLevelType w:val="hybridMultilevel"/>
    <w:tmpl w:val="678C0216"/>
    <w:lvl w:ilvl="0" w:tplc="C342534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1220F7D"/>
    <w:multiLevelType w:val="hybridMultilevel"/>
    <w:tmpl w:val="4BD0FA9C"/>
    <w:lvl w:ilvl="0" w:tplc="C342534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3640FFA"/>
    <w:multiLevelType w:val="multilevel"/>
    <w:tmpl w:val="27DA5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6E1097"/>
    <w:multiLevelType w:val="hybridMultilevel"/>
    <w:tmpl w:val="E456679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46334774"/>
    <w:multiLevelType w:val="hybridMultilevel"/>
    <w:tmpl w:val="E1BC78C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57BC0C50"/>
    <w:multiLevelType w:val="hybridMultilevel"/>
    <w:tmpl w:val="01649586"/>
    <w:lvl w:ilvl="0" w:tplc="C342534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94B5215"/>
    <w:multiLevelType w:val="hybridMultilevel"/>
    <w:tmpl w:val="5B1CAE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5A3732EE"/>
    <w:multiLevelType w:val="hybridMultilevel"/>
    <w:tmpl w:val="074C72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E8B575C"/>
    <w:multiLevelType w:val="hybridMultilevel"/>
    <w:tmpl w:val="3EA6E804"/>
    <w:lvl w:ilvl="0" w:tplc="0C0A000B">
      <w:start w:val="1"/>
      <w:numFmt w:val="bullet"/>
      <w:lvlText w:val=""/>
      <w:lvlJc w:val="left"/>
      <w:pPr>
        <w:ind w:left="870" w:hanging="360"/>
      </w:pPr>
      <w:rPr>
        <w:rFonts w:ascii="Wingdings" w:hAnsi="Wingdings" w:hint="default"/>
      </w:rPr>
    </w:lvl>
    <w:lvl w:ilvl="1" w:tplc="0C0A0003" w:tentative="1">
      <w:start w:val="1"/>
      <w:numFmt w:val="bullet"/>
      <w:lvlText w:val="o"/>
      <w:lvlJc w:val="left"/>
      <w:pPr>
        <w:ind w:left="1590" w:hanging="360"/>
      </w:pPr>
      <w:rPr>
        <w:rFonts w:ascii="Courier New" w:hAnsi="Courier New" w:cs="Courier New" w:hint="default"/>
      </w:rPr>
    </w:lvl>
    <w:lvl w:ilvl="2" w:tplc="0C0A0005" w:tentative="1">
      <w:start w:val="1"/>
      <w:numFmt w:val="bullet"/>
      <w:lvlText w:val=""/>
      <w:lvlJc w:val="left"/>
      <w:pPr>
        <w:ind w:left="2310" w:hanging="360"/>
      </w:pPr>
      <w:rPr>
        <w:rFonts w:ascii="Wingdings" w:hAnsi="Wingdings" w:cs="Wingdings" w:hint="default"/>
      </w:rPr>
    </w:lvl>
    <w:lvl w:ilvl="3" w:tplc="0C0A0001" w:tentative="1">
      <w:start w:val="1"/>
      <w:numFmt w:val="bullet"/>
      <w:lvlText w:val=""/>
      <w:lvlJc w:val="left"/>
      <w:pPr>
        <w:ind w:left="3030" w:hanging="360"/>
      </w:pPr>
      <w:rPr>
        <w:rFonts w:ascii="Symbol" w:hAnsi="Symbol" w:cs="Symbol" w:hint="default"/>
      </w:rPr>
    </w:lvl>
    <w:lvl w:ilvl="4" w:tplc="0C0A0003" w:tentative="1">
      <w:start w:val="1"/>
      <w:numFmt w:val="bullet"/>
      <w:lvlText w:val="o"/>
      <w:lvlJc w:val="left"/>
      <w:pPr>
        <w:ind w:left="3750" w:hanging="360"/>
      </w:pPr>
      <w:rPr>
        <w:rFonts w:ascii="Courier New" w:hAnsi="Courier New" w:cs="Courier New" w:hint="default"/>
      </w:rPr>
    </w:lvl>
    <w:lvl w:ilvl="5" w:tplc="0C0A0005" w:tentative="1">
      <w:start w:val="1"/>
      <w:numFmt w:val="bullet"/>
      <w:lvlText w:val=""/>
      <w:lvlJc w:val="left"/>
      <w:pPr>
        <w:ind w:left="4470" w:hanging="360"/>
      </w:pPr>
      <w:rPr>
        <w:rFonts w:ascii="Wingdings" w:hAnsi="Wingdings" w:cs="Wingdings" w:hint="default"/>
      </w:rPr>
    </w:lvl>
    <w:lvl w:ilvl="6" w:tplc="0C0A0001" w:tentative="1">
      <w:start w:val="1"/>
      <w:numFmt w:val="bullet"/>
      <w:lvlText w:val=""/>
      <w:lvlJc w:val="left"/>
      <w:pPr>
        <w:ind w:left="5190" w:hanging="360"/>
      </w:pPr>
      <w:rPr>
        <w:rFonts w:ascii="Symbol" w:hAnsi="Symbol" w:cs="Symbol" w:hint="default"/>
      </w:rPr>
    </w:lvl>
    <w:lvl w:ilvl="7" w:tplc="0C0A0003" w:tentative="1">
      <w:start w:val="1"/>
      <w:numFmt w:val="bullet"/>
      <w:lvlText w:val="o"/>
      <w:lvlJc w:val="left"/>
      <w:pPr>
        <w:ind w:left="5910" w:hanging="360"/>
      </w:pPr>
      <w:rPr>
        <w:rFonts w:ascii="Courier New" w:hAnsi="Courier New" w:cs="Courier New" w:hint="default"/>
      </w:rPr>
    </w:lvl>
    <w:lvl w:ilvl="8" w:tplc="0C0A0005" w:tentative="1">
      <w:start w:val="1"/>
      <w:numFmt w:val="bullet"/>
      <w:lvlText w:val=""/>
      <w:lvlJc w:val="left"/>
      <w:pPr>
        <w:ind w:left="6630" w:hanging="360"/>
      </w:pPr>
      <w:rPr>
        <w:rFonts w:ascii="Wingdings" w:hAnsi="Wingdings" w:cs="Wingdings" w:hint="default"/>
      </w:rPr>
    </w:lvl>
  </w:abstractNum>
  <w:abstractNum w:abstractNumId="17" w15:restartNumberingAfterBreak="0">
    <w:nsid w:val="64196E89"/>
    <w:multiLevelType w:val="hybridMultilevel"/>
    <w:tmpl w:val="E60C12CC"/>
    <w:lvl w:ilvl="0" w:tplc="C342534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5A660B1"/>
    <w:multiLevelType w:val="hybridMultilevel"/>
    <w:tmpl w:val="8132F508"/>
    <w:lvl w:ilvl="0" w:tplc="C342534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5E143CA"/>
    <w:multiLevelType w:val="hybridMultilevel"/>
    <w:tmpl w:val="E0C695E4"/>
    <w:lvl w:ilvl="0" w:tplc="0C0A0001">
      <w:start w:val="1"/>
      <w:numFmt w:val="bullet"/>
      <w:lvlText w:val=""/>
      <w:lvlJc w:val="left"/>
      <w:pPr>
        <w:ind w:left="870" w:hanging="360"/>
      </w:pPr>
      <w:rPr>
        <w:rFonts w:ascii="Symbol" w:hAnsi="Symbol" w:hint="default"/>
      </w:rPr>
    </w:lvl>
    <w:lvl w:ilvl="1" w:tplc="0C0A0003" w:tentative="1">
      <w:start w:val="1"/>
      <w:numFmt w:val="bullet"/>
      <w:lvlText w:val="o"/>
      <w:lvlJc w:val="left"/>
      <w:pPr>
        <w:ind w:left="1590" w:hanging="360"/>
      </w:pPr>
      <w:rPr>
        <w:rFonts w:ascii="Courier New" w:hAnsi="Courier New" w:cs="Courier New" w:hint="default"/>
      </w:rPr>
    </w:lvl>
    <w:lvl w:ilvl="2" w:tplc="0C0A0005" w:tentative="1">
      <w:start w:val="1"/>
      <w:numFmt w:val="bullet"/>
      <w:lvlText w:val=""/>
      <w:lvlJc w:val="left"/>
      <w:pPr>
        <w:ind w:left="2310" w:hanging="360"/>
      </w:pPr>
      <w:rPr>
        <w:rFonts w:ascii="Wingdings" w:hAnsi="Wingdings" w:cs="Wingdings" w:hint="default"/>
      </w:rPr>
    </w:lvl>
    <w:lvl w:ilvl="3" w:tplc="0C0A0001" w:tentative="1">
      <w:start w:val="1"/>
      <w:numFmt w:val="bullet"/>
      <w:lvlText w:val=""/>
      <w:lvlJc w:val="left"/>
      <w:pPr>
        <w:ind w:left="3030" w:hanging="360"/>
      </w:pPr>
      <w:rPr>
        <w:rFonts w:ascii="Symbol" w:hAnsi="Symbol" w:cs="Symbol" w:hint="default"/>
      </w:rPr>
    </w:lvl>
    <w:lvl w:ilvl="4" w:tplc="0C0A0003" w:tentative="1">
      <w:start w:val="1"/>
      <w:numFmt w:val="bullet"/>
      <w:lvlText w:val="o"/>
      <w:lvlJc w:val="left"/>
      <w:pPr>
        <w:ind w:left="3750" w:hanging="360"/>
      </w:pPr>
      <w:rPr>
        <w:rFonts w:ascii="Courier New" w:hAnsi="Courier New" w:cs="Courier New" w:hint="default"/>
      </w:rPr>
    </w:lvl>
    <w:lvl w:ilvl="5" w:tplc="0C0A0005" w:tentative="1">
      <w:start w:val="1"/>
      <w:numFmt w:val="bullet"/>
      <w:lvlText w:val=""/>
      <w:lvlJc w:val="left"/>
      <w:pPr>
        <w:ind w:left="4470" w:hanging="360"/>
      </w:pPr>
      <w:rPr>
        <w:rFonts w:ascii="Wingdings" w:hAnsi="Wingdings" w:cs="Wingdings" w:hint="default"/>
      </w:rPr>
    </w:lvl>
    <w:lvl w:ilvl="6" w:tplc="0C0A0001" w:tentative="1">
      <w:start w:val="1"/>
      <w:numFmt w:val="bullet"/>
      <w:lvlText w:val=""/>
      <w:lvlJc w:val="left"/>
      <w:pPr>
        <w:ind w:left="5190" w:hanging="360"/>
      </w:pPr>
      <w:rPr>
        <w:rFonts w:ascii="Symbol" w:hAnsi="Symbol" w:cs="Symbol" w:hint="default"/>
      </w:rPr>
    </w:lvl>
    <w:lvl w:ilvl="7" w:tplc="0C0A0003" w:tentative="1">
      <w:start w:val="1"/>
      <w:numFmt w:val="bullet"/>
      <w:lvlText w:val="o"/>
      <w:lvlJc w:val="left"/>
      <w:pPr>
        <w:ind w:left="5910" w:hanging="360"/>
      </w:pPr>
      <w:rPr>
        <w:rFonts w:ascii="Courier New" w:hAnsi="Courier New" w:cs="Courier New" w:hint="default"/>
      </w:rPr>
    </w:lvl>
    <w:lvl w:ilvl="8" w:tplc="0C0A0005" w:tentative="1">
      <w:start w:val="1"/>
      <w:numFmt w:val="bullet"/>
      <w:lvlText w:val=""/>
      <w:lvlJc w:val="left"/>
      <w:pPr>
        <w:ind w:left="6630" w:hanging="360"/>
      </w:pPr>
      <w:rPr>
        <w:rFonts w:ascii="Wingdings" w:hAnsi="Wingdings" w:cs="Wingdings" w:hint="default"/>
      </w:rPr>
    </w:lvl>
  </w:abstractNum>
  <w:abstractNum w:abstractNumId="20" w15:restartNumberingAfterBreak="0">
    <w:nsid w:val="6F5D7FD9"/>
    <w:multiLevelType w:val="hybridMultilevel"/>
    <w:tmpl w:val="00E8023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7C701A7C"/>
    <w:multiLevelType w:val="hybridMultilevel"/>
    <w:tmpl w:val="678C0216"/>
    <w:lvl w:ilvl="0" w:tplc="C342534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13"/>
  </w:num>
  <w:num w:numId="5">
    <w:abstractNumId w:val="9"/>
  </w:num>
  <w:num w:numId="6">
    <w:abstractNumId w:val="17"/>
  </w:num>
  <w:num w:numId="7">
    <w:abstractNumId w:val="0"/>
  </w:num>
  <w:num w:numId="8">
    <w:abstractNumId w:val="18"/>
  </w:num>
  <w:num w:numId="9">
    <w:abstractNumId w:val="8"/>
  </w:num>
  <w:num w:numId="10">
    <w:abstractNumId w:val="21"/>
  </w:num>
  <w:num w:numId="11">
    <w:abstractNumId w:val="11"/>
  </w:num>
  <w:num w:numId="12">
    <w:abstractNumId w:val="12"/>
  </w:num>
  <w:num w:numId="13">
    <w:abstractNumId w:val="5"/>
  </w:num>
  <w:num w:numId="14">
    <w:abstractNumId w:val="16"/>
  </w:num>
  <w:num w:numId="15">
    <w:abstractNumId w:val="19"/>
  </w:num>
  <w:num w:numId="16">
    <w:abstractNumId w:val="14"/>
  </w:num>
  <w:num w:numId="17">
    <w:abstractNumId w:val="3"/>
  </w:num>
  <w:num w:numId="18">
    <w:abstractNumId w:val="7"/>
  </w:num>
  <w:num w:numId="19">
    <w:abstractNumId w:val="20"/>
  </w:num>
  <w:num w:numId="20">
    <w:abstractNumId w:val="10"/>
  </w:num>
  <w:num w:numId="21">
    <w:abstractNumId w:val="6"/>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6AD"/>
    <w:rsid w:val="0000616E"/>
    <w:rsid w:val="00032666"/>
    <w:rsid w:val="00036391"/>
    <w:rsid w:val="00043A09"/>
    <w:rsid w:val="000501FC"/>
    <w:rsid w:val="00057483"/>
    <w:rsid w:val="000933DF"/>
    <w:rsid w:val="000B738A"/>
    <w:rsid w:val="000B79A8"/>
    <w:rsid w:val="000F1382"/>
    <w:rsid w:val="001066C2"/>
    <w:rsid w:val="00137E68"/>
    <w:rsid w:val="00195ABC"/>
    <w:rsid w:val="001C15B5"/>
    <w:rsid w:val="00224023"/>
    <w:rsid w:val="00265FC7"/>
    <w:rsid w:val="0026793F"/>
    <w:rsid w:val="00274CA9"/>
    <w:rsid w:val="00283F4F"/>
    <w:rsid w:val="002B3B13"/>
    <w:rsid w:val="002F6395"/>
    <w:rsid w:val="002F6711"/>
    <w:rsid w:val="003C3A85"/>
    <w:rsid w:val="003D215D"/>
    <w:rsid w:val="003E74FA"/>
    <w:rsid w:val="003F30B6"/>
    <w:rsid w:val="004018AF"/>
    <w:rsid w:val="004244AD"/>
    <w:rsid w:val="00426536"/>
    <w:rsid w:val="00464B4F"/>
    <w:rsid w:val="0047262A"/>
    <w:rsid w:val="004B0144"/>
    <w:rsid w:val="004D318F"/>
    <w:rsid w:val="00516853"/>
    <w:rsid w:val="005350DC"/>
    <w:rsid w:val="00582749"/>
    <w:rsid w:val="0059118B"/>
    <w:rsid w:val="005B10BA"/>
    <w:rsid w:val="005B32C3"/>
    <w:rsid w:val="005D11BA"/>
    <w:rsid w:val="005D13F1"/>
    <w:rsid w:val="005D2441"/>
    <w:rsid w:val="0063268F"/>
    <w:rsid w:val="00646B0E"/>
    <w:rsid w:val="00665836"/>
    <w:rsid w:val="00667212"/>
    <w:rsid w:val="00720285"/>
    <w:rsid w:val="00784713"/>
    <w:rsid w:val="007A355C"/>
    <w:rsid w:val="007E52C5"/>
    <w:rsid w:val="007F490E"/>
    <w:rsid w:val="0080454A"/>
    <w:rsid w:val="00830CE9"/>
    <w:rsid w:val="00860924"/>
    <w:rsid w:val="0086510D"/>
    <w:rsid w:val="0089313E"/>
    <w:rsid w:val="008A2757"/>
    <w:rsid w:val="008A29FA"/>
    <w:rsid w:val="008E203F"/>
    <w:rsid w:val="008E2406"/>
    <w:rsid w:val="008E3ED6"/>
    <w:rsid w:val="0091533F"/>
    <w:rsid w:val="0093715B"/>
    <w:rsid w:val="009A56AD"/>
    <w:rsid w:val="009C2382"/>
    <w:rsid w:val="00A12889"/>
    <w:rsid w:val="00A21E85"/>
    <w:rsid w:val="00A2479D"/>
    <w:rsid w:val="00A26E83"/>
    <w:rsid w:val="00A3095B"/>
    <w:rsid w:val="00A509DE"/>
    <w:rsid w:val="00A66DB8"/>
    <w:rsid w:val="00A80ADA"/>
    <w:rsid w:val="00AB4486"/>
    <w:rsid w:val="00AC1239"/>
    <w:rsid w:val="00AD4E6C"/>
    <w:rsid w:val="00B030A8"/>
    <w:rsid w:val="00B03C9F"/>
    <w:rsid w:val="00B1326E"/>
    <w:rsid w:val="00B21908"/>
    <w:rsid w:val="00B26601"/>
    <w:rsid w:val="00B33E26"/>
    <w:rsid w:val="00B53446"/>
    <w:rsid w:val="00B639BA"/>
    <w:rsid w:val="00BA279C"/>
    <w:rsid w:val="00BC1CFC"/>
    <w:rsid w:val="00BF2A98"/>
    <w:rsid w:val="00C12E0C"/>
    <w:rsid w:val="00C43A72"/>
    <w:rsid w:val="00C46812"/>
    <w:rsid w:val="00C549C1"/>
    <w:rsid w:val="00CE2812"/>
    <w:rsid w:val="00D11A8E"/>
    <w:rsid w:val="00D14F8F"/>
    <w:rsid w:val="00D22372"/>
    <w:rsid w:val="00D9360D"/>
    <w:rsid w:val="00DA0E3D"/>
    <w:rsid w:val="00E174BA"/>
    <w:rsid w:val="00E9012A"/>
    <w:rsid w:val="00F30A12"/>
    <w:rsid w:val="00F537E8"/>
    <w:rsid w:val="00F96E64"/>
    <w:rsid w:val="00FC1E1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610114E"/>
  <w15:docId w15:val="{5EF1691A-931F-475B-AB1B-CC35F9F40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E0C"/>
  </w:style>
  <w:style w:type="paragraph" w:styleId="Ttulo3">
    <w:name w:val="heading 3"/>
    <w:basedOn w:val="Normal"/>
    <w:link w:val="Ttulo3Car"/>
    <w:uiPriority w:val="9"/>
    <w:qFormat/>
    <w:rsid w:val="00195ABC"/>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118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9118B"/>
  </w:style>
  <w:style w:type="paragraph" w:styleId="Piedepgina">
    <w:name w:val="footer"/>
    <w:basedOn w:val="Normal"/>
    <w:link w:val="PiedepginaCar"/>
    <w:uiPriority w:val="99"/>
    <w:unhideWhenUsed/>
    <w:rsid w:val="0059118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9118B"/>
  </w:style>
  <w:style w:type="paragraph" w:styleId="Textodeglobo">
    <w:name w:val="Balloon Text"/>
    <w:basedOn w:val="Normal"/>
    <w:link w:val="TextodegloboCar"/>
    <w:uiPriority w:val="99"/>
    <w:semiHidden/>
    <w:unhideWhenUsed/>
    <w:rsid w:val="005911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118B"/>
    <w:rPr>
      <w:rFonts w:ascii="Tahoma" w:hAnsi="Tahoma" w:cs="Tahoma"/>
      <w:sz w:val="16"/>
      <w:szCs w:val="16"/>
    </w:rPr>
  </w:style>
  <w:style w:type="paragraph" w:styleId="NormalWeb">
    <w:name w:val="Normal (Web)"/>
    <w:basedOn w:val="Normal"/>
    <w:uiPriority w:val="99"/>
    <w:unhideWhenUsed/>
    <w:rsid w:val="00C12E0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C12E0C"/>
    <w:pPr>
      <w:ind w:left="720"/>
      <w:contextualSpacing/>
    </w:pPr>
  </w:style>
  <w:style w:type="paragraph" w:styleId="Textocomentario">
    <w:name w:val="annotation text"/>
    <w:basedOn w:val="Normal"/>
    <w:link w:val="TextocomentarioCar"/>
    <w:uiPriority w:val="99"/>
    <w:semiHidden/>
    <w:unhideWhenUsed/>
    <w:rsid w:val="008931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9313E"/>
    <w:rPr>
      <w:sz w:val="20"/>
      <w:szCs w:val="20"/>
    </w:rPr>
  </w:style>
  <w:style w:type="table" w:styleId="Tablaconcuadrcula">
    <w:name w:val="Table Grid"/>
    <w:basedOn w:val="Tablanormal"/>
    <w:uiPriority w:val="59"/>
    <w:rsid w:val="00937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93715B"/>
    <w:rPr>
      <w:color w:val="0000FF" w:themeColor="hyperlink"/>
      <w:u w:val="single"/>
    </w:rPr>
  </w:style>
  <w:style w:type="character" w:styleId="Mencinsinresolver">
    <w:name w:val="Unresolved Mention"/>
    <w:basedOn w:val="Fuentedeprrafopredeter"/>
    <w:uiPriority w:val="99"/>
    <w:semiHidden/>
    <w:unhideWhenUsed/>
    <w:rsid w:val="00043A09"/>
    <w:rPr>
      <w:color w:val="605E5C"/>
      <w:shd w:val="clear" w:color="auto" w:fill="E1DFDD"/>
    </w:rPr>
  </w:style>
  <w:style w:type="character" w:customStyle="1" w:styleId="Ttulo3Car">
    <w:name w:val="Título 3 Car"/>
    <w:basedOn w:val="Fuentedeprrafopredeter"/>
    <w:link w:val="Ttulo3"/>
    <w:uiPriority w:val="9"/>
    <w:rsid w:val="00195ABC"/>
    <w:rPr>
      <w:rFonts w:ascii="Times New Roman" w:eastAsia="Times New Roman" w:hAnsi="Times New Roman" w:cs="Times New Roman"/>
      <w:b/>
      <w:bCs/>
      <w:sz w:val="27"/>
      <w:szCs w:val="27"/>
      <w:lang w:eastAsia="es-ES"/>
    </w:rPr>
  </w:style>
  <w:style w:type="paragraph" w:customStyle="1" w:styleId="Default">
    <w:name w:val="Default"/>
    <w:rsid w:val="00195ABC"/>
    <w:pPr>
      <w:autoSpaceDE w:val="0"/>
      <w:autoSpaceDN w:val="0"/>
      <w:adjustRightInd w:val="0"/>
      <w:spacing w:after="0" w:line="240" w:lineRule="auto"/>
    </w:pPr>
    <w:rPr>
      <w:rFonts w:ascii="Calibri" w:hAnsi="Calibri" w:cs="Calibri"/>
      <w:color w:val="000000"/>
      <w:sz w:val="24"/>
      <w:szCs w:val="24"/>
    </w:rPr>
  </w:style>
  <w:style w:type="character" w:styleId="Textoennegrita">
    <w:name w:val="Strong"/>
    <w:basedOn w:val="Fuentedeprrafopredeter"/>
    <w:uiPriority w:val="22"/>
    <w:qFormat/>
    <w:rsid w:val="0091533F"/>
    <w:rPr>
      <w:b/>
      <w:bCs/>
    </w:rPr>
  </w:style>
  <w:style w:type="character" w:styleId="Refdecomentario">
    <w:name w:val="annotation reference"/>
    <w:basedOn w:val="Fuentedeprrafopredeter"/>
    <w:uiPriority w:val="99"/>
    <w:semiHidden/>
    <w:unhideWhenUsed/>
    <w:rsid w:val="00D14F8F"/>
    <w:rPr>
      <w:sz w:val="16"/>
      <w:szCs w:val="16"/>
    </w:rPr>
  </w:style>
  <w:style w:type="paragraph" w:styleId="Asuntodelcomentario">
    <w:name w:val="annotation subject"/>
    <w:basedOn w:val="Textocomentario"/>
    <w:next w:val="Textocomentario"/>
    <w:link w:val="AsuntodelcomentarioCar"/>
    <w:uiPriority w:val="99"/>
    <w:semiHidden/>
    <w:unhideWhenUsed/>
    <w:rsid w:val="00D14F8F"/>
    <w:rPr>
      <w:b/>
      <w:bCs/>
    </w:rPr>
  </w:style>
  <w:style w:type="character" w:customStyle="1" w:styleId="AsuntodelcomentarioCar">
    <w:name w:val="Asunto del comentario Car"/>
    <w:basedOn w:val="TextocomentarioCar"/>
    <w:link w:val="Asuntodelcomentario"/>
    <w:uiPriority w:val="99"/>
    <w:semiHidden/>
    <w:rsid w:val="00D14F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0591">
      <w:bodyDiv w:val="1"/>
      <w:marLeft w:val="0"/>
      <w:marRight w:val="0"/>
      <w:marTop w:val="0"/>
      <w:marBottom w:val="0"/>
      <w:divBdr>
        <w:top w:val="none" w:sz="0" w:space="0" w:color="auto"/>
        <w:left w:val="none" w:sz="0" w:space="0" w:color="auto"/>
        <w:bottom w:val="none" w:sz="0" w:space="0" w:color="auto"/>
        <w:right w:val="none" w:sz="0" w:space="0" w:color="auto"/>
      </w:divBdr>
    </w:div>
    <w:div w:id="675309020">
      <w:bodyDiv w:val="1"/>
      <w:marLeft w:val="0"/>
      <w:marRight w:val="0"/>
      <w:marTop w:val="0"/>
      <w:marBottom w:val="0"/>
      <w:divBdr>
        <w:top w:val="none" w:sz="0" w:space="0" w:color="auto"/>
        <w:left w:val="none" w:sz="0" w:space="0" w:color="auto"/>
        <w:bottom w:val="none" w:sz="0" w:space="0" w:color="auto"/>
        <w:right w:val="none" w:sz="0" w:space="0" w:color="auto"/>
      </w:divBdr>
    </w:div>
    <w:div w:id="745298168">
      <w:bodyDiv w:val="1"/>
      <w:marLeft w:val="0"/>
      <w:marRight w:val="0"/>
      <w:marTop w:val="0"/>
      <w:marBottom w:val="0"/>
      <w:divBdr>
        <w:top w:val="none" w:sz="0" w:space="0" w:color="auto"/>
        <w:left w:val="none" w:sz="0" w:space="0" w:color="auto"/>
        <w:bottom w:val="none" w:sz="0" w:space="0" w:color="auto"/>
        <w:right w:val="none" w:sz="0" w:space="0" w:color="auto"/>
      </w:divBdr>
    </w:div>
    <w:div w:id="1142504503">
      <w:bodyDiv w:val="1"/>
      <w:marLeft w:val="0"/>
      <w:marRight w:val="0"/>
      <w:marTop w:val="0"/>
      <w:marBottom w:val="0"/>
      <w:divBdr>
        <w:top w:val="none" w:sz="0" w:space="0" w:color="auto"/>
        <w:left w:val="none" w:sz="0" w:space="0" w:color="auto"/>
        <w:bottom w:val="none" w:sz="0" w:space="0" w:color="auto"/>
        <w:right w:val="none" w:sz="0" w:space="0" w:color="auto"/>
      </w:divBdr>
    </w:div>
    <w:div w:id="1200167691">
      <w:bodyDiv w:val="1"/>
      <w:marLeft w:val="0"/>
      <w:marRight w:val="0"/>
      <w:marTop w:val="0"/>
      <w:marBottom w:val="0"/>
      <w:divBdr>
        <w:top w:val="none" w:sz="0" w:space="0" w:color="auto"/>
        <w:left w:val="none" w:sz="0" w:space="0" w:color="auto"/>
        <w:bottom w:val="none" w:sz="0" w:space="0" w:color="auto"/>
        <w:right w:val="none" w:sz="0" w:space="0" w:color="auto"/>
      </w:divBdr>
    </w:div>
    <w:div w:id="1418750731">
      <w:bodyDiv w:val="1"/>
      <w:marLeft w:val="0"/>
      <w:marRight w:val="0"/>
      <w:marTop w:val="0"/>
      <w:marBottom w:val="0"/>
      <w:divBdr>
        <w:top w:val="none" w:sz="0" w:space="0" w:color="auto"/>
        <w:left w:val="none" w:sz="0" w:space="0" w:color="auto"/>
        <w:bottom w:val="none" w:sz="0" w:space="0" w:color="auto"/>
        <w:right w:val="none" w:sz="0" w:space="0" w:color="auto"/>
      </w:divBdr>
      <w:divsChild>
        <w:div w:id="1504204812">
          <w:marLeft w:val="0"/>
          <w:marRight w:val="0"/>
          <w:marTop w:val="0"/>
          <w:marBottom w:val="0"/>
          <w:divBdr>
            <w:top w:val="none" w:sz="0" w:space="0" w:color="auto"/>
            <w:left w:val="none" w:sz="0" w:space="0" w:color="auto"/>
            <w:bottom w:val="none" w:sz="0" w:space="0" w:color="auto"/>
            <w:right w:val="none" w:sz="0" w:space="0" w:color="auto"/>
          </w:divBdr>
          <w:divsChild>
            <w:div w:id="1676036564">
              <w:marLeft w:val="0"/>
              <w:marRight w:val="0"/>
              <w:marTop w:val="0"/>
              <w:marBottom w:val="0"/>
              <w:divBdr>
                <w:top w:val="none" w:sz="0" w:space="0" w:color="auto"/>
                <w:left w:val="none" w:sz="0" w:space="0" w:color="auto"/>
                <w:bottom w:val="none" w:sz="0" w:space="0" w:color="auto"/>
                <w:right w:val="none" w:sz="0" w:space="0" w:color="auto"/>
              </w:divBdr>
              <w:divsChild>
                <w:div w:id="45051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340550">
      <w:bodyDiv w:val="1"/>
      <w:marLeft w:val="0"/>
      <w:marRight w:val="0"/>
      <w:marTop w:val="0"/>
      <w:marBottom w:val="0"/>
      <w:divBdr>
        <w:top w:val="none" w:sz="0" w:space="0" w:color="auto"/>
        <w:left w:val="none" w:sz="0" w:space="0" w:color="auto"/>
        <w:bottom w:val="none" w:sz="0" w:space="0" w:color="auto"/>
        <w:right w:val="none" w:sz="0" w:space="0" w:color="auto"/>
      </w:divBdr>
    </w:div>
    <w:div w:id="1708600476">
      <w:bodyDiv w:val="1"/>
      <w:marLeft w:val="0"/>
      <w:marRight w:val="0"/>
      <w:marTop w:val="0"/>
      <w:marBottom w:val="0"/>
      <w:divBdr>
        <w:top w:val="none" w:sz="0" w:space="0" w:color="auto"/>
        <w:left w:val="none" w:sz="0" w:space="0" w:color="auto"/>
        <w:bottom w:val="none" w:sz="0" w:space="0" w:color="auto"/>
        <w:right w:val="none" w:sz="0" w:space="0" w:color="auto"/>
      </w:divBdr>
    </w:div>
    <w:div w:id="1869298045">
      <w:bodyDiv w:val="1"/>
      <w:marLeft w:val="0"/>
      <w:marRight w:val="0"/>
      <w:marTop w:val="0"/>
      <w:marBottom w:val="0"/>
      <w:divBdr>
        <w:top w:val="none" w:sz="0" w:space="0" w:color="auto"/>
        <w:left w:val="none" w:sz="0" w:space="0" w:color="auto"/>
        <w:bottom w:val="none" w:sz="0" w:space="0" w:color="auto"/>
        <w:right w:val="none" w:sz="0" w:space="0" w:color="auto"/>
      </w:divBdr>
    </w:div>
    <w:div w:id="208437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lancet.com/journals/ebiom/article/PIIS2352-3964(21)00047-5/fulltex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municacion@ciberisciii.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avi.org/our-science/tuberculosis-vaccin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tbvi.eu/" TargetMode="External"/><Relationship Id="rId4" Type="http://schemas.openxmlformats.org/officeDocument/2006/relationships/settings" Target="settings.xml"/><Relationship Id="rId9" Type="http://schemas.openxmlformats.org/officeDocument/2006/relationships/hyperlink" Target="http://www.biofabri.e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4A13B-93EC-4EB1-A861-600AA0ADB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1084</Words>
  <Characters>5968</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Navarro, Begoña [Ciberisciii]</cp:lastModifiedBy>
  <cp:revision>7</cp:revision>
  <cp:lastPrinted>2020-02-05T11:20:00Z</cp:lastPrinted>
  <dcterms:created xsi:type="dcterms:W3CDTF">2021-03-22T09:50:00Z</dcterms:created>
  <dcterms:modified xsi:type="dcterms:W3CDTF">2021-03-23T08:51:00Z</dcterms:modified>
</cp:coreProperties>
</file>